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46E2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lang w:val="pt-BR"/>
        </w:rPr>
        <w:t>LEI N</w:t>
      </w:r>
      <w:r>
        <w:rPr>
          <w:rFonts w:eastAsia="Times New Roman"/>
          <w:b/>
          <w:bCs/>
          <w:color w:val="000000"/>
          <w:sz w:val="24"/>
          <w:szCs w:val="24"/>
          <w:lang w:val="pt-BR"/>
        </w:rPr>
        <w:t>º 1224, DE 21 SETEMBRO DE 2012</w:t>
      </w:r>
    </w:p>
    <w:p w:rsidR="00000000" w:rsidRDefault="00746E2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lang w:val="pt-BR"/>
        </w:rPr>
      </w:pPr>
    </w:p>
    <w:p w:rsidR="00000000" w:rsidRDefault="00746E25">
      <w:pPr>
        <w:pStyle w:val="Normal0"/>
        <w:widowControl/>
        <w:ind w:left="1133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CRIA O COMIT</w:t>
      </w:r>
      <w:r>
        <w:rPr>
          <w:rFonts w:ascii="Times New Roman" w:eastAsia="Times New Roman" w:hAnsi="Times New Roman" w:cs="Times New Roman"/>
          <w:color w:val="000000"/>
          <w:lang w:val="pt-BR"/>
        </w:rPr>
        <w:t>Ê DE INVESTIMENTOS DO INSTITUTO DE PREVIDÊ</w:t>
      </w:r>
      <w:r>
        <w:rPr>
          <w:rFonts w:ascii="Times New Roman" w:eastAsia="Times New Roman" w:hAnsi="Times New Roman" w:cs="Times New Roman"/>
          <w:color w:val="000000"/>
          <w:lang w:val="pt-BR"/>
        </w:rPr>
        <w:t>NCIA MUNICIPAL -COMIN FAPEMI, IMPLANTA O SEU REGULAMENTO INTERNO E DISCIPLINA A HIERARQUIA FUNCIONAL NAS DECISÕES DE INVESTIMENTOS DO INSTITUTO DE PREVIDÊNCIA MUNICIPAL DE ITAPEVA.</w:t>
      </w:r>
    </w:p>
    <w:p w:rsidR="00000000" w:rsidRDefault="00746E2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lang w:val="pt-BR"/>
        </w:rPr>
      </w:pPr>
    </w:p>
    <w:p w:rsidR="00000000" w:rsidRDefault="00746E2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lang w:val="pt-BR"/>
        </w:rPr>
      </w:pP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lang w:val="pt-BR"/>
        </w:rPr>
        <w:t>O Prefeito Municipal Itapeva nos termos da Constitui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ção Federal, na Emend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 Constitucional nº 20, na Lei Federal 9717, e na  Lei Orgânica do Município  e ainda considerando os pontos abaixo: 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O disposto na Portaria MPS 519/11 alterada pela Portaria MPS 170/12 que prevê o Cadastramento de Administradores, Gestores de fundos de I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nvestimentos bem como Instituições Financeiras que operem na intermediação, bem como em operações compromissadas envolvendo Títulos Públicos de Emissão da Secretaria do Tesouro Nacional; </w:t>
      </w: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O disposto na Resolução CMN 3922/10 que disciplina os investimento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s de RPPS – Regimes Próprios de Previdência Social bem como a obrigatoriedade de pessoa certificada com qualificação exarada por empresa selecionadora de profissionais no mercado financeiro e de capitais como condição obrigatória para atuar em cargos de re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sponsáveis pelos investimentos;</w:t>
      </w: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Que resolução supra citada permite a contratação  nos termos da Lei Federal 8666/93 de Consultoria credenciada na CVM – Comissão de Valores Mobiliários como órgão assessor ao Instituto de Previdê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ncia Municipal de Itapeva.    </w:t>
      </w: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Que a legislação em vigor supracitada, preconiza a obrigatoriedade da pluralização  nas decisões de investimentos através de  um Comitê de Investimentos.</w:t>
      </w:r>
    </w:p>
    <w:p w:rsidR="00000000" w:rsidRDefault="00746E25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Considerando a Lei Municipal nº 1.035/2008 que criou a Instituto de P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revidência Municipal de Itapeva, resolve: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Art. 1º  - Fica criado o Comitê de Investimentos do Instituto de Previdência Municipal de Itapeva – COMIN FAPEMI – órgão Autônomo  e Consultivo (Deliberativo) que tem por finalidade sugerir/aconselhar (decidir) e 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aprovar políticas de aplicações e/ ou resgates ou ainda remanejamento da carteira de investimentos do Instituto de Previdência Municipal de Itapeva com fins previdenciários, tendo como referência a Política Anual de Investimentos previamente aprovada pelo 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Conselho de Administração do Instituto de Previdência Municipal de Itapeva.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Parágrafo Único: A Política de Investimentos previamente aprovada pelo Conselho  de Administração poderá ser alterada no decurso do exercício da sua implantação seja para atender 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 mudanças na legislação em vigor como também para a adequá-la a um a nova 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lastRenderedPageBreak/>
        <w:t>realidade econômica sendo esta alteração solicitada ao Conselho de Administração pela Superintendente do Instituto de Previdência Municipal de Itapeva – COMIN FAPEMI por esse instru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mento jurídico criado.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Art. 2º A quantidade de membros, bem como, o quórum para instalação e decisões da reunião, a forma de convocação, serão regidos pelo Regimento Interno como forma de Anexo Único a esse instrumento que estará sujeito a aprovação, repr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ovação alterações da assembléia inaugural do COMIN FAPEMI.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Art. 3º - Ficara definido no Regimento Interno do COMIN FAPEMI além do exposto acima, a hierarquia funcional das decisões de investimentos do COMIN FAPEMI. 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Art.4 – Uma vez aprovado o Regimento I</w:t>
      </w: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>nterno do COMIN FAPEMI,  este só poderá ser alterado  com o quórum de maioria qualificada de seus membros.</w:t>
      </w: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</w:p>
    <w:p w:rsidR="00000000" w:rsidRDefault="00746E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</w:pPr>
      <w:r>
        <w:rPr>
          <w:rStyle w:val="nfase"/>
          <w:rFonts w:ascii="Times New Roman" w:eastAsia="Times New Roman" w:hAnsi="Times New Roman" w:cs="Times New Roman"/>
          <w:i w:val="0"/>
          <w:iCs w:val="0"/>
          <w:sz w:val="24"/>
          <w:szCs w:val="24"/>
          <w:lang w:val="pt-BR"/>
        </w:rPr>
        <w:t xml:space="preserve">Art. 5º - Esta Lei Municipal entra em vigor na data de sua publicação revogando as disposições em contrário.     </w:t>
      </w:r>
    </w:p>
    <w:p w:rsidR="00000000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lang w:val="pt-BR"/>
        </w:rPr>
      </w:pPr>
    </w:p>
    <w:p w:rsidR="00000000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lang w:val="pt-BR"/>
        </w:rPr>
      </w:pPr>
      <w:r>
        <w:rPr>
          <w:lang w:val="pt-BR"/>
        </w:rPr>
        <w:t>Itapeva, 21 de setembro de 2012.</w:t>
      </w:r>
    </w:p>
    <w:p w:rsidR="00000000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lang w:val="pt-BR"/>
        </w:rPr>
      </w:pPr>
    </w:p>
    <w:p w:rsidR="00000000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  <w:r>
        <w:rPr>
          <w:b/>
          <w:bCs/>
          <w:i/>
          <w:iCs/>
          <w:lang w:val="pt-BR"/>
        </w:rPr>
        <w:t>DR. URIAS PAULO FURQUIM</w:t>
      </w:r>
    </w:p>
    <w:p w:rsidR="00000000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  <w:r>
        <w:rPr>
          <w:b/>
          <w:bCs/>
          <w:lang w:val="pt-BR"/>
        </w:rPr>
        <w:t>Prefeito Municipal</w:t>
      </w:r>
    </w:p>
    <w:p w:rsidR="00746E25" w:rsidRDefault="00746E25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lang w:val="pt-BR"/>
        </w:rPr>
      </w:pPr>
    </w:p>
    <w:sectPr w:rsidR="00746E25">
      <w:headerReference w:type="default" r:id="rId7"/>
      <w:footerReference w:type="default" r:id="rId8"/>
      <w:pgSz w:w="11907" w:h="16840"/>
      <w:pgMar w:top="1701" w:right="1134" w:bottom="1134" w:left="1984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25" w:rsidRDefault="00746E25">
      <w:r>
        <w:separator/>
      </w:r>
    </w:p>
  </w:endnote>
  <w:endnote w:type="continuationSeparator" w:id="0">
    <w:p w:rsidR="00746E25" w:rsidRDefault="0074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6E25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pt-BR"/>
      </w:rPr>
    </w:pPr>
  </w:p>
  <w:p w:rsidR="00000000" w:rsidRDefault="00746E25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25" w:rsidRDefault="00746E25">
      <w:r>
        <w:separator/>
      </w:r>
    </w:p>
  </w:footnote>
  <w:footnote w:type="continuationSeparator" w:id="0">
    <w:p w:rsidR="00746E25" w:rsidRDefault="00746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030"/>
    </w:tblGrid>
    <w:tr w:rsidR="00000000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000000" w:rsidRDefault="007F6015">
          <w:pPr>
            <w:pStyle w:val="Standard"/>
            <w:tabs>
              <w:tab w:val="center" w:pos="4419"/>
              <w:tab w:val="left" w:pos="8618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985520" cy="783590"/>
                <wp:effectExtent l="0" t="0" r="508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tcBorders>
            <w:top w:val="nil"/>
            <w:left w:val="nil"/>
            <w:bottom w:val="nil"/>
            <w:right w:val="nil"/>
          </w:tcBorders>
        </w:tcPr>
        <w:p w:rsidR="00000000" w:rsidRDefault="00746E25">
          <w:pPr>
            <w:pStyle w:val="Standard"/>
            <w:tabs>
              <w:tab w:val="center" w:pos="4419"/>
              <w:tab w:val="left" w:pos="8788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000000" w:rsidRDefault="00746E25">
          <w:pPr>
            <w:pStyle w:val="Standard"/>
            <w:tabs>
              <w:tab w:val="center" w:pos="4419"/>
              <w:tab w:val="left" w:pos="8788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000000" w:rsidRDefault="00746E25">
          <w:pPr>
            <w:pStyle w:val="Standard"/>
            <w:tabs>
              <w:tab w:val="center" w:pos="4419"/>
              <w:tab w:val="left" w:pos="8788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- 37655-000</w:t>
          </w:r>
        </w:p>
        <w:p w:rsidR="00000000" w:rsidRDefault="00746E25">
          <w:pPr>
            <w:pStyle w:val="Standard"/>
            <w:tabs>
              <w:tab w:val="center" w:pos="4419"/>
              <w:tab w:val="left" w:pos="8788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/ Fax (35) 3434.1582 </w:t>
          </w:r>
        </w:p>
        <w:p w:rsidR="00000000" w:rsidRDefault="00746E25">
          <w:pPr>
            <w:pStyle w:val="Standard"/>
            <w:tabs>
              <w:tab w:val="center" w:pos="4419"/>
              <w:tab w:val="left" w:pos="8788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www.camaraitapeva.mg.gov.br - e-mail: camara@camaraitapeva.mg.gov.br</w:t>
          </w:r>
        </w:p>
      </w:tc>
    </w:tr>
  </w:tbl>
  <w:p w:rsidR="00000000" w:rsidRDefault="00746E25">
    <w:pPr>
      <w:pStyle w:val="Standard"/>
      <w:tabs>
        <w:tab w:val="center" w:pos="4419"/>
        <w:tab w:val="right" w:pos="8789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15"/>
    <w:rsid w:val="00746E25"/>
    <w:rsid w:val="007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dcterms:created xsi:type="dcterms:W3CDTF">2023-09-13T16:57:00Z</dcterms:created>
  <dcterms:modified xsi:type="dcterms:W3CDTF">2023-09-13T16:57:00Z</dcterms:modified>
</cp:coreProperties>
</file>