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5FC" w:rsidRPr="00BC4138" w:rsidRDefault="007E42A4" w:rsidP="00BC413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413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EMENDA ORGANIZACIONAL N.º </w:t>
      </w:r>
      <w:r w:rsidR="00E12C2F">
        <w:rPr>
          <w:rFonts w:asciiTheme="minorHAnsi" w:hAnsiTheme="minorHAnsi" w:cstheme="minorHAnsi"/>
          <w:b/>
          <w:bCs/>
          <w:color w:val="000000"/>
          <w:sz w:val="24"/>
          <w:szCs w:val="24"/>
        </w:rPr>
        <w:t>11</w:t>
      </w:r>
      <w:bookmarkStart w:id="0" w:name="_GoBack"/>
      <w:bookmarkEnd w:id="0"/>
      <w:r w:rsidR="00E12C2F">
        <w:rPr>
          <w:rFonts w:asciiTheme="minorHAnsi" w:hAnsiTheme="minorHAnsi" w:cstheme="minorHAnsi"/>
          <w:b/>
          <w:bCs/>
          <w:color w:val="000000"/>
          <w:sz w:val="24"/>
          <w:szCs w:val="24"/>
        </w:rPr>
        <w:t>, DE 06 DE DEZEMBRBO DE 2023</w:t>
      </w:r>
    </w:p>
    <w:p w:rsidR="00A434D7" w:rsidRPr="00BC4138" w:rsidRDefault="00A434D7" w:rsidP="00BC413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3045FC" w:rsidRPr="00FC5F2E" w:rsidRDefault="00FC5F2E" w:rsidP="00BC4138">
      <w:pPr>
        <w:pStyle w:val="Normal0"/>
        <w:ind w:left="1134"/>
        <w:jc w:val="both"/>
        <w:rPr>
          <w:rFonts w:asciiTheme="minorHAnsi" w:hAnsiTheme="minorHAnsi" w:cstheme="minorHAnsi"/>
          <w:i/>
        </w:rPr>
      </w:pPr>
      <w:r w:rsidRPr="00FC5F2E">
        <w:rPr>
          <w:rFonts w:asciiTheme="minorHAnsi" w:hAnsiTheme="minorHAnsi" w:cstheme="minorHAnsi"/>
          <w:i/>
        </w:rPr>
        <w:t xml:space="preserve">ALTERA, </w:t>
      </w:r>
      <w:r w:rsidR="007E42A4" w:rsidRPr="00FC5F2E">
        <w:rPr>
          <w:rFonts w:asciiTheme="minorHAnsi" w:hAnsiTheme="minorHAnsi" w:cstheme="minorHAnsi"/>
          <w:i/>
        </w:rPr>
        <w:t xml:space="preserve">ACRESCENTA </w:t>
      </w:r>
      <w:r w:rsidRPr="00FC5F2E">
        <w:rPr>
          <w:rFonts w:asciiTheme="minorHAnsi" w:hAnsiTheme="minorHAnsi" w:cstheme="minorHAnsi"/>
          <w:i/>
        </w:rPr>
        <w:t xml:space="preserve">E REVOGA </w:t>
      </w:r>
      <w:r w:rsidR="007E42A4" w:rsidRPr="00FC5F2E">
        <w:rPr>
          <w:rFonts w:asciiTheme="minorHAnsi" w:hAnsiTheme="minorHAnsi" w:cstheme="minorHAnsi"/>
          <w:i/>
        </w:rPr>
        <w:t xml:space="preserve">DISPOSITIVOS </w:t>
      </w:r>
      <w:r w:rsidRPr="00FC5F2E">
        <w:rPr>
          <w:rFonts w:asciiTheme="minorHAnsi" w:hAnsiTheme="minorHAnsi" w:cstheme="minorHAnsi"/>
          <w:i/>
        </w:rPr>
        <w:t>D</w:t>
      </w:r>
      <w:r w:rsidR="007E42A4" w:rsidRPr="00FC5F2E">
        <w:rPr>
          <w:rFonts w:asciiTheme="minorHAnsi" w:hAnsiTheme="minorHAnsi" w:cstheme="minorHAnsi"/>
          <w:i/>
        </w:rPr>
        <w:t>A LEI ORGÂNI</w:t>
      </w:r>
      <w:r w:rsidRPr="00FC5F2E">
        <w:rPr>
          <w:rFonts w:asciiTheme="minorHAnsi" w:hAnsiTheme="minorHAnsi" w:cstheme="minorHAnsi"/>
          <w:i/>
        </w:rPr>
        <w:t>CA DO MUNICÍPIO DE ITAPEVA – MG, COM REDAÇÃO DADA PELA EMENDA ORGANIZACIONAL N.º 10,</w:t>
      </w:r>
      <w:r>
        <w:rPr>
          <w:rFonts w:asciiTheme="minorHAnsi" w:hAnsiTheme="minorHAnsi" w:cstheme="minorHAnsi"/>
          <w:i/>
        </w:rPr>
        <w:t xml:space="preserve"> D</w:t>
      </w:r>
      <w:r w:rsidRPr="00FC5F2E">
        <w:rPr>
          <w:rFonts w:asciiTheme="minorHAnsi" w:hAnsiTheme="minorHAnsi" w:cstheme="minorHAnsi"/>
          <w:i/>
        </w:rPr>
        <w:t xml:space="preserve">E 04 DE DEZEMBRO DE 2019, </w:t>
      </w:r>
      <w:r w:rsidR="007E42A4" w:rsidRPr="00FC5F2E">
        <w:rPr>
          <w:rFonts w:asciiTheme="minorHAnsi" w:hAnsiTheme="minorHAnsi" w:cstheme="minorHAnsi"/>
          <w:i/>
        </w:rPr>
        <w:t>E DÁ OUTRAS PROVIDÊNCIAS.</w:t>
      </w:r>
    </w:p>
    <w:p w:rsidR="003045FC" w:rsidRPr="00BC4138" w:rsidRDefault="003045FC" w:rsidP="00BC413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34"/>
        <w:rPr>
          <w:rFonts w:asciiTheme="minorHAnsi" w:hAnsiTheme="minorHAnsi" w:cstheme="minorHAnsi"/>
        </w:rPr>
      </w:pPr>
    </w:p>
    <w:p w:rsidR="003045FC" w:rsidRPr="00BC4138" w:rsidRDefault="007E42A4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138">
        <w:rPr>
          <w:rFonts w:asciiTheme="minorHAnsi" w:hAnsiTheme="minorHAnsi" w:cstheme="minorHAnsi"/>
          <w:sz w:val="24"/>
          <w:szCs w:val="24"/>
        </w:rPr>
        <w:t>A Câmara Municipal de Itapeva, por meio de seus vereadores, aprovou e sua Mesa Diretora, com fulcro no Art. 43, §2º da Lei Orgânica deste Município, promulga a seguinte Emenda ao texto organizacional:</w:t>
      </w:r>
    </w:p>
    <w:p w:rsidR="003045FC" w:rsidRPr="00BC4138" w:rsidRDefault="003045FC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045FC" w:rsidRPr="00BC4138" w:rsidRDefault="007E42A4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138">
        <w:rPr>
          <w:rFonts w:asciiTheme="minorHAnsi" w:hAnsiTheme="minorHAnsi" w:cstheme="minorHAnsi"/>
          <w:b/>
          <w:sz w:val="24"/>
          <w:szCs w:val="24"/>
        </w:rPr>
        <w:t>Art.</w:t>
      </w:r>
      <w:r w:rsidRPr="00C15170">
        <w:rPr>
          <w:rFonts w:asciiTheme="minorHAnsi" w:hAnsiTheme="minorHAnsi" w:cstheme="minorHAnsi"/>
          <w:b/>
          <w:sz w:val="24"/>
          <w:szCs w:val="24"/>
        </w:rPr>
        <w:t>1º.</w:t>
      </w:r>
      <w:r w:rsidRPr="00C15170">
        <w:rPr>
          <w:rFonts w:asciiTheme="minorHAnsi" w:hAnsiTheme="minorHAnsi" w:cstheme="minorHAnsi"/>
          <w:sz w:val="24"/>
          <w:szCs w:val="24"/>
        </w:rPr>
        <w:t xml:space="preserve"> O</w:t>
      </w:r>
      <w:r w:rsidR="00C15170" w:rsidRPr="00C15170">
        <w:rPr>
          <w:rFonts w:asciiTheme="minorHAnsi" w:hAnsiTheme="minorHAnsi" w:cstheme="minorHAnsi"/>
          <w:sz w:val="24"/>
          <w:szCs w:val="24"/>
        </w:rPr>
        <w:t>s §§1º, 6º e 9º</w:t>
      </w:r>
      <w:r w:rsidR="00C15170">
        <w:rPr>
          <w:rFonts w:asciiTheme="minorHAnsi" w:hAnsiTheme="minorHAnsi" w:cstheme="minorHAnsi"/>
          <w:sz w:val="24"/>
          <w:szCs w:val="24"/>
        </w:rPr>
        <w:t xml:space="preserve"> do </w:t>
      </w:r>
      <w:r w:rsidRPr="00C15170">
        <w:rPr>
          <w:rFonts w:asciiTheme="minorHAnsi" w:hAnsiTheme="minorHAnsi" w:cstheme="minorHAnsi"/>
          <w:sz w:val="24"/>
          <w:szCs w:val="24"/>
        </w:rPr>
        <w:t>Art.</w:t>
      </w:r>
      <w:r w:rsidR="00A434D7" w:rsidRPr="00C15170">
        <w:rPr>
          <w:rFonts w:asciiTheme="minorHAnsi" w:hAnsiTheme="minorHAnsi" w:cstheme="minorHAnsi"/>
          <w:sz w:val="24"/>
          <w:szCs w:val="24"/>
        </w:rPr>
        <w:t xml:space="preserve"> 126-A d</w:t>
      </w:r>
      <w:r w:rsidRPr="00C15170">
        <w:rPr>
          <w:rFonts w:asciiTheme="minorHAnsi" w:hAnsiTheme="minorHAnsi" w:cstheme="minorHAnsi"/>
          <w:sz w:val="24"/>
          <w:szCs w:val="24"/>
        </w:rPr>
        <w:t xml:space="preserve">a Lei Orgânica Municipal, </w:t>
      </w:r>
      <w:r w:rsidR="00BC4138" w:rsidRPr="00C15170">
        <w:rPr>
          <w:rFonts w:asciiTheme="minorHAnsi" w:hAnsiTheme="minorHAnsi" w:cstheme="minorHAnsi"/>
          <w:sz w:val="24"/>
          <w:szCs w:val="24"/>
        </w:rPr>
        <w:t>com redação dada pela Emenda Organizacional</w:t>
      </w:r>
      <w:r w:rsidR="00BC4138" w:rsidRPr="00BC4138">
        <w:rPr>
          <w:rFonts w:asciiTheme="minorHAnsi" w:hAnsiTheme="minorHAnsi" w:cstheme="minorHAnsi"/>
          <w:sz w:val="24"/>
          <w:szCs w:val="24"/>
        </w:rPr>
        <w:t xml:space="preserve"> n.º 10, de 04 de dezembro de 2019, </w:t>
      </w:r>
      <w:r w:rsidRPr="00BC4138">
        <w:rPr>
          <w:rFonts w:asciiTheme="minorHAnsi" w:hAnsiTheme="minorHAnsi" w:cstheme="minorHAnsi"/>
          <w:sz w:val="24"/>
          <w:szCs w:val="24"/>
        </w:rPr>
        <w:t>passam a</w:t>
      </w:r>
      <w:r w:rsidR="00C15170">
        <w:rPr>
          <w:rFonts w:asciiTheme="minorHAnsi" w:hAnsiTheme="minorHAnsi" w:cstheme="minorHAnsi"/>
          <w:sz w:val="24"/>
          <w:szCs w:val="24"/>
        </w:rPr>
        <w:t xml:space="preserve"> vigorar com a seguinte redação, e acr</w:t>
      </w:r>
      <w:r w:rsidR="00431293">
        <w:rPr>
          <w:rFonts w:asciiTheme="minorHAnsi" w:hAnsiTheme="minorHAnsi" w:cstheme="minorHAnsi"/>
          <w:sz w:val="24"/>
          <w:szCs w:val="24"/>
        </w:rPr>
        <w:t>escido dos seguintes §§ 11 ao 17</w:t>
      </w:r>
      <w:r w:rsidR="00C15170">
        <w:rPr>
          <w:rFonts w:asciiTheme="minorHAnsi" w:hAnsiTheme="minorHAnsi" w:cstheme="minorHAnsi"/>
          <w:sz w:val="24"/>
          <w:szCs w:val="24"/>
        </w:rPr>
        <w:t>:</w:t>
      </w:r>
    </w:p>
    <w:p w:rsidR="003045FC" w:rsidRPr="00BC4138" w:rsidRDefault="003045FC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434D7" w:rsidRPr="00BC4138" w:rsidRDefault="00A434D7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138">
        <w:rPr>
          <w:rFonts w:asciiTheme="minorHAnsi" w:hAnsiTheme="minorHAnsi" w:cstheme="minorHAnsi"/>
          <w:sz w:val="24"/>
          <w:szCs w:val="24"/>
        </w:rPr>
        <w:t>"</w:t>
      </w:r>
      <w:r w:rsidRPr="00BC4138">
        <w:rPr>
          <w:rFonts w:asciiTheme="minorHAnsi" w:hAnsiTheme="minorHAnsi" w:cstheme="minorHAnsi"/>
          <w:b/>
          <w:sz w:val="24"/>
          <w:szCs w:val="24"/>
        </w:rPr>
        <w:t>Art. 126-A</w:t>
      </w:r>
      <w:r w:rsidR="007E42A4" w:rsidRPr="00BC4138">
        <w:rPr>
          <w:rFonts w:asciiTheme="minorHAnsi" w:hAnsiTheme="minorHAnsi" w:cstheme="minorHAnsi"/>
          <w:sz w:val="24"/>
          <w:szCs w:val="24"/>
        </w:rPr>
        <w:t>.</w:t>
      </w:r>
      <w:r w:rsidRPr="00BC4138">
        <w:rPr>
          <w:rFonts w:asciiTheme="minorHAnsi" w:hAnsiTheme="minorHAnsi" w:cstheme="minorHAnsi"/>
          <w:sz w:val="24"/>
          <w:szCs w:val="24"/>
        </w:rPr>
        <w:t xml:space="preserve"> [...]</w:t>
      </w:r>
    </w:p>
    <w:p w:rsidR="003045FC" w:rsidRPr="00BC4138" w:rsidRDefault="007E42A4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13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C4138" w:rsidRPr="00BC4138" w:rsidRDefault="00A434D7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138">
        <w:rPr>
          <w:rFonts w:asciiTheme="minorHAnsi" w:hAnsiTheme="minorHAnsi" w:cstheme="minorHAnsi"/>
          <w:b/>
          <w:sz w:val="24"/>
          <w:szCs w:val="24"/>
        </w:rPr>
        <w:t xml:space="preserve">§1º - </w:t>
      </w:r>
      <w:r w:rsidRPr="00BC4138">
        <w:rPr>
          <w:rFonts w:asciiTheme="minorHAnsi" w:hAnsiTheme="minorHAnsi" w:cstheme="minorHAnsi"/>
          <w:sz w:val="24"/>
          <w:szCs w:val="24"/>
        </w:rPr>
        <w:t xml:space="preserve">As emendas individuais apresentadas ao Projeto de Lei do Orçamento Anual serão aprovadas no limite de 2% (dois por cento) da receita corrente líquida realizada no exercício anterior, sendo que 50% (cinquenta por cento) desse percentual </w:t>
      </w:r>
      <w:r w:rsidR="00841E43" w:rsidRPr="00BC4138">
        <w:rPr>
          <w:rFonts w:asciiTheme="minorHAnsi" w:hAnsiTheme="minorHAnsi" w:cstheme="minorHAnsi"/>
          <w:sz w:val="24"/>
          <w:szCs w:val="24"/>
        </w:rPr>
        <w:t>serão</w:t>
      </w:r>
      <w:r w:rsidRPr="00BC4138">
        <w:rPr>
          <w:rFonts w:asciiTheme="minorHAnsi" w:hAnsiTheme="minorHAnsi" w:cstheme="minorHAnsi"/>
          <w:sz w:val="24"/>
          <w:szCs w:val="24"/>
        </w:rPr>
        <w:t xml:space="preserve"> </w:t>
      </w:r>
      <w:r w:rsidR="00841E43" w:rsidRPr="00BC4138">
        <w:rPr>
          <w:rFonts w:asciiTheme="minorHAnsi" w:hAnsiTheme="minorHAnsi" w:cstheme="minorHAnsi"/>
          <w:sz w:val="24"/>
          <w:szCs w:val="24"/>
        </w:rPr>
        <w:t>destinados</w:t>
      </w:r>
      <w:r w:rsidRPr="00BC4138">
        <w:rPr>
          <w:rFonts w:asciiTheme="minorHAnsi" w:hAnsiTheme="minorHAnsi" w:cstheme="minorHAnsi"/>
          <w:sz w:val="24"/>
          <w:szCs w:val="24"/>
        </w:rPr>
        <w:t xml:space="preserve"> a ações e serviços </w:t>
      </w:r>
      <w:r w:rsidR="00BC4138" w:rsidRPr="00BC4138">
        <w:rPr>
          <w:rFonts w:asciiTheme="minorHAnsi" w:hAnsiTheme="minorHAnsi" w:cstheme="minorHAnsi"/>
          <w:sz w:val="24"/>
          <w:szCs w:val="24"/>
        </w:rPr>
        <w:t>públicos de saúde</w:t>
      </w:r>
      <w:r w:rsidR="00841E43">
        <w:rPr>
          <w:rFonts w:asciiTheme="minorHAnsi" w:hAnsiTheme="minorHAnsi" w:cstheme="minorHAnsi"/>
          <w:sz w:val="24"/>
          <w:szCs w:val="24"/>
        </w:rPr>
        <w:t>.</w:t>
      </w:r>
    </w:p>
    <w:p w:rsidR="00BC4138" w:rsidRDefault="00BC4138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C4138" w:rsidRDefault="00C15170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[...]</w:t>
      </w:r>
    </w:p>
    <w:p w:rsidR="00BC4138" w:rsidRPr="00BC4138" w:rsidRDefault="00BC4138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C4138" w:rsidRPr="00C15170" w:rsidRDefault="00370FFB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138">
        <w:rPr>
          <w:rFonts w:asciiTheme="minorHAnsi" w:hAnsiTheme="minorHAnsi" w:cstheme="minorHAnsi"/>
          <w:b/>
          <w:sz w:val="24"/>
          <w:szCs w:val="24"/>
        </w:rPr>
        <w:t>§</w:t>
      </w:r>
      <w:r w:rsidR="00BC4138" w:rsidRPr="00BC4138">
        <w:rPr>
          <w:rFonts w:asciiTheme="minorHAnsi" w:hAnsiTheme="minorHAnsi" w:cstheme="minorHAnsi"/>
          <w:b/>
          <w:sz w:val="24"/>
          <w:szCs w:val="24"/>
        </w:rPr>
        <w:t>6º -</w:t>
      </w:r>
      <w:r w:rsidR="00BC4138" w:rsidRPr="00C15170">
        <w:rPr>
          <w:rFonts w:asciiTheme="minorHAnsi" w:hAnsiTheme="minorHAnsi" w:cstheme="minorHAnsi"/>
          <w:sz w:val="24"/>
          <w:szCs w:val="24"/>
        </w:rPr>
        <w:t xml:space="preserve"> [...] </w:t>
      </w:r>
    </w:p>
    <w:p w:rsidR="00BC4138" w:rsidRDefault="00BC4138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C4138" w:rsidRPr="00BC4138" w:rsidRDefault="00BC4138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138">
        <w:rPr>
          <w:rFonts w:asciiTheme="minorHAnsi" w:hAnsiTheme="minorHAnsi" w:cstheme="minorHAnsi"/>
          <w:b/>
          <w:sz w:val="24"/>
          <w:szCs w:val="24"/>
        </w:rPr>
        <w:t>I -</w:t>
      </w:r>
      <w:r>
        <w:rPr>
          <w:rFonts w:asciiTheme="minorHAnsi" w:hAnsiTheme="minorHAnsi" w:cstheme="minorHAnsi"/>
          <w:sz w:val="24"/>
          <w:szCs w:val="24"/>
        </w:rPr>
        <w:t xml:space="preserve"> O Poder Executivo encaminhará ao Poder Legislativo as justificativas dos impedimentos</w:t>
      </w:r>
      <w:r w:rsidR="00FC5F2E">
        <w:rPr>
          <w:rFonts w:asciiTheme="minorHAnsi" w:hAnsiTheme="minorHAnsi" w:cstheme="minorHAnsi"/>
          <w:sz w:val="24"/>
          <w:szCs w:val="24"/>
        </w:rPr>
        <w:t xml:space="preserve"> técnicos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C1228">
        <w:rPr>
          <w:rFonts w:asciiTheme="minorHAnsi" w:hAnsiTheme="minorHAnsi" w:cstheme="minorHAnsi"/>
          <w:sz w:val="24"/>
          <w:szCs w:val="24"/>
        </w:rPr>
        <w:t xml:space="preserve">insuperáveis </w:t>
      </w:r>
      <w:r>
        <w:rPr>
          <w:rFonts w:asciiTheme="minorHAnsi" w:hAnsiTheme="minorHAnsi" w:cstheme="minorHAnsi"/>
          <w:sz w:val="24"/>
          <w:szCs w:val="24"/>
        </w:rPr>
        <w:t>a</w:t>
      </w:r>
      <w:r w:rsidR="0016487B">
        <w:rPr>
          <w:rFonts w:asciiTheme="minorHAnsi" w:hAnsiTheme="minorHAnsi" w:cstheme="minorHAnsi"/>
          <w:sz w:val="24"/>
          <w:szCs w:val="24"/>
        </w:rPr>
        <w:t>té o último dia útil do mês de fevereiro</w:t>
      </w:r>
      <w:r>
        <w:rPr>
          <w:rFonts w:asciiTheme="minorHAnsi" w:hAnsiTheme="minorHAnsi" w:cstheme="minorHAnsi"/>
          <w:sz w:val="24"/>
          <w:szCs w:val="24"/>
        </w:rPr>
        <w:t xml:space="preserve"> do exercício financeiro que se referir a lei orçamentária;</w:t>
      </w:r>
    </w:p>
    <w:p w:rsidR="00BC4138" w:rsidRPr="00C15170" w:rsidRDefault="00BC4138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C4138" w:rsidRPr="00C15170" w:rsidRDefault="00C15170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5170">
        <w:rPr>
          <w:rFonts w:asciiTheme="minorHAnsi" w:hAnsiTheme="minorHAnsi" w:cstheme="minorHAnsi"/>
          <w:sz w:val="24"/>
          <w:szCs w:val="24"/>
        </w:rPr>
        <w:t>[...]</w:t>
      </w:r>
    </w:p>
    <w:p w:rsidR="00C15170" w:rsidRDefault="00C15170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2034A" w:rsidRDefault="00BA73E0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§9º - </w:t>
      </w:r>
      <w:r>
        <w:rPr>
          <w:rFonts w:asciiTheme="minorHAnsi" w:hAnsiTheme="minorHAnsi" w:cstheme="minorHAnsi"/>
          <w:sz w:val="24"/>
          <w:szCs w:val="24"/>
        </w:rPr>
        <w:t xml:space="preserve">O Poder Executivo manterá na internet relação atualizada, em tempo real, das emendas impositivas, com </w:t>
      </w:r>
      <w:r w:rsidRPr="00BA73E0">
        <w:rPr>
          <w:rFonts w:asciiTheme="minorHAnsi" w:hAnsiTheme="minorHAnsi" w:cstheme="minorHAnsi"/>
          <w:i/>
          <w:sz w:val="24"/>
          <w:szCs w:val="24"/>
        </w:rPr>
        <w:t>link</w:t>
      </w:r>
      <w:r w:rsidR="00FC5F2E">
        <w:rPr>
          <w:rFonts w:asciiTheme="minorHAnsi" w:hAnsiTheme="minorHAnsi" w:cstheme="minorHAnsi"/>
          <w:sz w:val="24"/>
          <w:szCs w:val="24"/>
        </w:rPr>
        <w:t xml:space="preserve"> em destaque na </w:t>
      </w:r>
      <w:r>
        <w:rPr>
          <w:rFonts w:asciiTheme="minorHAnsi" w:hAnsiTheme="minorHAnsi" w:cstheme="minorHAnsi"/>
          <w:sz w:val="24"/>
          <w:szCs w:val="24"/>
        </w:rPr>
        <w:t xml:space="preserve">página </w:t>
      </w:r>
      <w:r w:rsidR="00FC5F2E">
        <w:rPr>
          <w:rFonts w:asciiTheme="minorHAnsi" w:hAnsiTheme="minorHAnsi" w:cstheme="minorHAnsi"/>
          <w:sz w:val="24"/>
          <w:szCs w:val="24"/>
        </w:rPr>
        <w:t xml:space="preserve">principal do </w:t>
      </w:r>
      <w:r w:rsidR="00FC5F2E" w:rsidRPr="00FC5F2E">
        <w:rPr>
          <w:rFonts w:asciiTheme="minorHAnsi" w:hAnsiTheme="minorHAnsi" w:cstheme="minorHAnsi"/>
          <w:i/>
          <w:sz w:val="24"/>
          <w:szCs w:val="24"/>
        </w:rPr>
        <w:t>site</w:t>
      </w:r>
      <w:r w:rsidR="00FC5F2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oficial do Município, contendo, no mínimo, as seguintes informações: nome do parlamentar autor da emenda impositiva; valor da emenda impositiva; objeto da emenda impositiva; </w:t>
      </w:r>
      <w:r w:rsidR="00E447DE">
        <w:rPr>
          <w:rFonts w:asciiTheme="minorHAnsi" w:hAnsiTheme="minorHAnsi" w:cstheme="minorHAnsi"/>
          <w:sz w:val="24"/>
          <w:szCs w:val="24"/>
        </w:rPr>
        <w:t xml:space="preserve">estágio atualizado </w:t>
      </w:r>
      <w:r>
        <w:rPr>
          <w:rFonts w:asciiTheme="minorHAnsi" w:hAnsiTheme="minorHAnsi" w:cstheme="minorHAnsi"/>
          <w:sz w:val="24"/>
          <w:szCs w:val="24"/>
        </w:rPr>
        <w:t>do cumprimento da emenda</w:t>
      </w:r>
      <w:r w:rsidR="00E447DE">
        <w:rPr>
          <w:rFonts w:asciiTheme="minorHAnsi" w:hAnsiTheme="minorHAnsi" w:cstheme="minorHAnsi"/>
          <w:sz w:val="24"/>
          <w:szCs w:val="24"/>
        </w:rPr>
        <w:t xml:space="preserve"> impositiva; </w:t>
      </w:r>
      <w:r w:rsidR="00FC5F2E">
        <w:rPr>
          <w:rFonts w:asciiTheme="minorHAnsi" w:hAnsiTheme="minorHAnsi" w:cstheme="minorHAnsi"/>
          <w:sz w:val="24"/>
          <w:szCs w:val="24"/>
        </w:rPr>
        <w:t>número do empenho da despesa e do processo licitatório, de dispensa de licitação ou da compra direta.</w:t>
      </w:r>
    </w:p>
    <w:p w:rsidR="0052034A" w:rsidRDefault="0052034A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A73E0" w:rsidRDefault="0052034A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§11 </w:t>
      </w:r>
      <w:r>
        <w:rPr>
          <w:rFonts w:asciiTheme="minorHAnsi" w:hAnsiTheme="minorHAnsi" w:cstheme="minorHAnsi"/>
          <w:b/>
          <w:sz w:val="24"/>
          <w:szCs w:val="24"/>
        </w:rPr>
        <w:softHyphen/>
        <w:t xml:space="preserve">– </w:t>
      </w:r>
      <w:r>
        <w:rPr>
          <w:rFonts w:asciiTheme="minorHAnsi" w:hAnsiTheme="minorHAnsi" w:cstheme="minorHAnsi"/>
          <w:sz w:val="24"/>
          <w:szCs w:val="24"/>
        </w:rPr>
        <w:t>Uma vez cumprida a emenda impositiva, o Poder Executivo deverá oficializar formalmente a Câmara Municipal, informando o edil autor da respectiva emenda.</w:t>
      </w:r>
    </w:p>
    <w:p w:rsidR="0052034A" w:rsidRPr="00BA73E0" w:rsidRDefault="0052034A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B156E" w:rsidRPr="000C1228" w:rsidRDefault="00BC4138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138">
        <w:rPr>
          <w:rFonts w:asciiTheme="minorHAnsi" w:hAnsiTheme="minorHAnsi" w:cstheme="minorHAnsi"/>
          <w:b/>
          <w:sz w:val="24"/>
          <w:szCs w:val="24"/>
        </w:rPr>
        <w:lastRenderedPageBreak/>
        <w:t>§</w:t>
      </w:r>
      <w:r w:rsidR="00370FFB" w:rsidRPr="00BC4138">
        <w:rPr>
          <w:rFonts w:asciiTheme="minorHAnsi" w:hAnsiTheme="minorHAnsi" w:cstheme="minorHAnsi"/>
          <w:b/>
          <w:sz w:val="24"/>
          <w:szCs w:val="24"/>
        </w:rPr>
        <w:t>1</w:t>
      </w:r>
      <w:r w:rsidR="0052034A">
        <w:rPr>
          <w:rFonts w:asciiTheme="minorHAnsi" w:hAnsiTheme="minorHAnsi" w:cstheme="minorHAnsi"/>
          <w:b/>
          <w:sz w:val="24"/>
          <w:szCs w:val="24"/>
        </w:rPr>
        <w:t>2</w:t>
      </w:r>
      <w:r w:rsidR="00370FFB" w:rsidRPr="00BC4138">
        <w:rPr>
          <w:rFonts w:asciiTheme="minorHAnsi" w:hAnsiTheme="minorHAnsi" w:cstheme="minorHAnsi"/>
          <w:sz w:val="24"/>
          <w:szCs w:val="24"/>
        </w:rPr>
        <w:t xml:space="preserve"> – Para fins do disposto no §1º </w:t>
      </w:r>
      <w:r w:rsidR="00C15170">
        <w:rPr>
          <w:rFonts w:asciiTheme="minorHAnsi" w:hAnsiTheme="minorHAnsi" w:cstheme="minorHAnsi"/>
          <w:sz w:val="24"/>
          <w:szCs w:val="24"/>
        </w:rPr>
        <w:t>do Art. 126-A</w:t>
      </w:r>
      <w:r w:rsidR="00370FFB" w:rsidRPr="00BC4138">
        <w:rPr>
          <w:rFonts w:asciiTheme="minorHAnsi" w:hAnsiTheme="minorHAnsi" w:cstheme="minorHAnsi"/>
          <w:sz w:val="24"/>
          <w:szCs w:val="24"/>
        </w:rPr>
        <w:t xml:space="preserve">, entende-se como receita corrente líquida, o somatório das receitas tributárias, de contribuições, patrimoniais, industriais, agropecuárias, de serviços, ICMS, transferências correntes e outras receitas também correntes, deduzidos a contribuição dos servidores para o custeio do seu sistema de </w:t>
      </w:r>
      <w:r w:rsidR="00370FFB" w:rsidRPr="000C1228">
        <w:rPr>
          <w:rFonts w:asciiTheme="minorHAnsi" w:hAnsiTheme="minorHAnsi" w:cstheme="minorHAnsi"/>
          <w:sz w:val="24"/>
          <w:szCs w:val="24"/>
        </w:rPr>
        <w:t>previdência e assistência social e as receitas provenientes da compensação financeira a que se refere o §9º do art. 201 da Constituição Federal de 1988.</w:t>
      </w:r>
    </w:p>
    <w:p w:rsidR="000C1228" w:rsidRPr="000C1228" w:rsidRDefault="000C1228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1228" w:rsidRDefault="000C1228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sz w:val="24"/>
          <w:szCs w:val="24"/>
        </w:rPr>
      </w:pPr>
      <w:r w:rsidRPr="000C1228">
        <w:rPr>
          <w:b/>
          <w:sz w:val="24"/>
          <w:szCs w:val="24"/>
        </w:rPr>
        <w:t>§1</w:t>
      </w:r>
      <w:r w:rsidR="0052034A">
        <w:rPr>
          <w:b/>
          <w:sz w:val="24"/>
          <w:szCs w:val="24"/>
        </w:rPr>
        <w:t>3</w:t>
      </w:r>
      <w:r w:rsidRPr="000C1228">
        <w:rPr>
          <w:sz w:val="24"/>
          <w:szCs w:val="24"/>
        </w:rPr>
        <w:t xml:space="preserve"> – A execução orçamentária e financeira </w:t>
      </w:r>
      <w:r>
        <w:rPr>
          <w:sz w:val="24"/>
          <w:szCs w:val="24"/>
        </w:rPr>
        <w:t xml:space="preserve">da emenda impositiva </w:t>
      </w:r>
      <w:r w:rsidRPr="000C1228">
        <w:rPr>
          <w:sz w:val="24"/>
          <w:szCs w:val="24"/>
        </w:rPr>
        <w:t>deverá ocorrer dentro do exercício financeiro da respectiva Lei Orçamentária Anual</w:t>
      </w:r>
      <w:r>
        <w:rPr>
          <w:sz w:val="24"/>
          <w:szCs w:val="24"/>
        </w:rPr>
        <w:t>.</w:t>
      </w:r>
    </w:p>
    <w:p w:rsidR="000C1228" w:rsidRDefault="000C1228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sz w:val="24"/>
          <w:szCs w:val="24"/>
        </w:rPr>
      </w:pPr>
    </w:p>
    <w:p w:rsidR="000C1228" w:rsidRDefault="000C1228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sz w:val="24"/>
          <w:szCs w:val="24"/>
        </w:rPr>
      </w:pPr>
      <w:r w:rsidRPr="000C1228">
        <w:rPr>
          <w:b/>
          <w:sz w:val="24"/>
          <w:szCs w:val="24"/>
        </w:rPr>
        <w:t>§1</w:t>
      </w:r>
      <w:r w:rsidR="0052034A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– As dotações orçamentárias com recursos para cumprimento de emendas impositivas não poderão ser fontes </w:t>
      </w:r>
      <w:r w:rsidR="00841E43">
        <w:rPr>
          <w:sz w:val="24"/>
          <w:szCs w:val="24"/>
        </w:rPr>
        <w:t xml:space="preserve">de crédito </w:t>
      </w:r>
      <w:r>
        <w:rPr>
          <w:sz w:val="24"/>
          <w:szCs w:val="24"/>
        </w:rPr>
        <w:t xml:space="preserve">para </w:t>
      </w:r>
      <w:r w:rsidR="00841E43">
        <w:rPr>
          <w:sz w:val="24"/>
          <w:szCs w:val="24"/>
        </w:rPr>
        <w:t xml:space="preserve">remanejamento, transposição, transferência, abertura de </w:t>
      </w:r>
      <w:r>
        <w:rPr>
          <w:sz w:val="24"/>
          <w:szCs w:val="24"/>
        </w:rPr>
        <w:t>crédito supl</w:t>
      </w:r>
      <w:r w:rsidR="00841E43">
        <w:rPr>
          <w:sz w:val="24"/>
          <w:szCs w:val="24"/>
        </w:rPr>
        <w:t xml:space="preserve">ementar, </w:t>
      </w:r>
      <w:r>
        <w:rPr>
          <w:sz w:val="24"/>
          <w:szCs w:val="24"/>
        </w:rPr>
        <w:t xml:space="preserve">especial </w:t>
      </w:r>
      <w:r w:rsidR="00841E43">
        <w:rPr>
          <w:sz w:val="24"/>
          <w:szCs w:val="24"/>
        </w:rPr>
        <w:t xml:space="preserve">ou extraordinário </w:t>
      </w:r>
      <w:r>
        <w:rPr>
          <w:sz w:val="24"/>
          <w:szCs w:val="24"/>
        </w:rPr>
        <w:t>de outras dotações que não sejam destinadas às referidas emendas, exceto se por autorização contida em lei específica.</w:t>
      </w:r>
    </w:p>
    <w:p w:rsidR="00FA0B89" w:rsidRDefault="00FA0B89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sz w:val="24"/>
          <w:szCs w:val="24"/>
        </w:rPr>
      </w:pPr>
    </w:p>
    <w:p w:rsidR="00FA0B89" w:rsidRPr="000C1228" w:rsidRDefault="00FA0B89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0B89">
        <w:rPr>
          <w:b/>
          <w:sz w:val="24"/>
          <w:szCs w:val="24"/>
        </w:rPr>
        <w:t>§15</w:t>
      </w:r>
      <w:r>
        <w:rPr>
          <w:sz w:val="24"/>
          <w:szCs w:val="24"/>
        </w:rPr>
        <w:t xml:space="preserve"> – </w:t>
      </w:r>
      <w:r w:rsidR="00431293">
        <w:rPr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Lei Orçamentária Anual </w:t>
      </w:r>
      <w:r w:rsidR="00431293">
        <w:rPr>
          <w:rFonts w:asciiTheme="minorHAnsi" w:hAnsiTheme="minorHAnsi" w:cstheme="minorHAnsi"/>
          <w:sz w:val="24"/>
          <w:szCs w:val="24"/>
        </w:rPr>
        <w:t>deverá conter reserva de valor correspondente ao limite financeiro total das emendas impositivas, sendo que as fontes dessa reserva deverão ser indicadas na mensagem da respectiva Lei Orçamentária.</w:t>
      </w:r>
    </w:p>
    <w:p w:rsidR="000C1228" w:rsidRPr="000C1228" w:rsidRDefault="000C1228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F4C8E" w:rsidRPr="000C1228" w:rsidRDefault="000C1228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§1</w:t>
      </w:r>
      <w:r w:rsidR="00431293">
        <w:rPr>
          <w:rFonts w:asciiTheme="minorHAnsi" w:hAnsiTheme="minorHAnsi" w:cstheme="minorHAnsi"/>
          <w:b/>
          <w:sz w:val="24"/>
          <w:szCs w:val="24"/>
        </w:rPr>
        <w:t>6</w:t>
      </w:r>
      <w:r w:rsidR="00AF4C8E" w:rsidRPr="000C1228">
        <w:rPr>
          <w:rFonts w:asciiTheme="minorHAnsi" w:hAnsiTheme="minorHAnsi" w:cstheme="minorHAnsi"/>
          <w:sz w:val="24"/>
          <w:szCs w:val="24"/>
        </w:rPr>
        <w:t xml:space="preserve"> – Sem prejuízo de outras sanções previstas no ordenamento jurídico vigente, o descumprimento injustificado da emenda impositiva pelo Prefeito Municipal, poderá ensejar as seguintes sanções:</w:t>
      </w:r>
    </w:p>
    <w:p w:rsidR="00AF4C8E" w:rsidRPr="000C1228" w:rsidRDefault="00AF4C8E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F4C8E" w:rsidRDefault="00AF4C8E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4C8E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 xml:space="preserve">– </w:t>
      </w:r>
      <w:r>
        <w:rPr>
          <w:rFonts w:asciiTheme="minorHAnsi" w:hAnsiTheme="minorHAnsi" w:cstheme="minorHAnsi"/>
          <w:sz w:val="24"/>
          <w:szCs w:val="24"/>
        </w:rPr>
        <w:t xml:space="preserve">Infração político-administrativa, sujeita ao julgamento pela Câmara Municipal e sancionada com a cassação do mandato (Art. 4º, incisos VI e VII do Decreto-Lei </w:t>
      </w:r>
      <w:r w:rsidR="0064052E">
        <w:rPr>
          <w:rFonts w:asciiTheme="minorHAnsi" w:hAnsiTheme="minorHAnsi" w:cstheme="minorHAnsi"/>
          <w:sz w:val="24"/>
          <w:szCs w:val="24"/>
        </w:rPr>
        <w:t xml:space="preserve">n.º </w:t>
      </w:r>
      <w:r>
        <w:rPr>
          <w:rFonts w:asciiTheme="minorHAnsi" w:hAnsiTheme="minorHAnsi" w:cstheme="minorHAnsi"/>
          <w:sz w:val="24"/>
          <w:szCs w:val="24"/>
        </w:rPr>
        <w:t>201, de 27 de fevereiro de 1967);</w:t>
      </w:r>
    </w:p>
    <w:p w:rsidR="00AF4C8E" w:rsidRDefault="00AF4C8E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F4C8E" w:rsidRDefault="00AF4C8E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II –</w:t>
      </w:r>
      <w:r>
        <w:rPr>
          <w:rFonts w:asciiTheme="minorHAnsi" w:hAnsiTheme="minorHAnsi" w:cstheme="minorHAnsi"/>
          <w:sz w:val="24"/>
          <w:szCs w:val="24"/>
        </w:rPr>
        <w:t xml:space="preserve"> Crime </w:t>
      </w:r>
      <w:r w:rsidR="0064052E">
        <w:rPr>
          <w:rFonts w:asciiTheme="minorHAnsi" w:hAnsiTheme="minorHAnsi" w:cstheme="minorHAnsi"/>
          <w:sz w:val="24"/>
          <w:szCs w:val="24"/>
        </w:rPr>
        <w:t xml:space="preserve">de responsabilidade, sujeito ao </w:t>
      </w:r>
      <w:r>
        <w:rPr>
          <w:rFonts w:asciiTheme="minorHAnsi" w:hAnsiTheme="minorHAnsi" w:cstheme="minorHAnsi"/>
          <w:sz w:val="24"/>
          <w:szCs w:val="24"/>
        </w:rPr>
        <w:t xml:space="preserve">julgamento pelo Poder Judiciário, </w:t>
      </w:r>
      <w:r w:rsidR="0064052E">
        <w:rPr>
          <w:rFonts w:asciiTheme="minorHAnsi" w:hAnsiTheme="minorHAnsi" w:cstheme="minorHAnsi"/>
          <w:sz w:val="24"/>
          <w:szCs w:val="24"/>
        </w:rPr>
        <w:t>independentemente do pronunciamento da Câmara Municipal, com pena de</w:t>
      </w:r>
      <w:r w:rsidR="00B87CD6">
        <w:rPr>
          <w:rFonts w:asciiTheme="minorHAnsi" w:hAnsiTheme="minorHAnsi" w:cstheme="minorHAnsi"/>
          <w:sz w:val="24"/>
          <w:szCs w:val="24"/>
        </w:rPr>
        <w:t xml:space="preserve"> detenção de 3 meses a 3 anos, </w:t>
      </w:r>
      <w:r w:rsidR="0064052E" w:rsidRPr="0064052E">
        <w:rPr>
          <w:rFonts w:asciiTheme="minorHAnsi" w:hAnsiTheme="minorHAnsi" w:cstheme="minorHAnsi"/>
          <w:sz w:val="24"/>
          <w:szCs w:val="24"/>
        </w:rPr>
        <w:t>perda de cargo e a inabilitação, pelo prazo de cinco anos, para o exercício de cargo ou função pública, eletivo ou de nomeação</w:t>
      </w:r>
      <w:r w:rsidR="0064052E">
        <w:rPr>
          <w:rFonts w:asciiTheme="minorHAnsi" w:hAnsiTheme="minorHAnsi" w:cstheme="minorHAnsi"/>
          <w:sz w:val="24"/>
          <w:szCs w:val="24"/>
        </w:rPr>
        <w:t xml:space="preserve"> (Art. 1º, inciso XIV do Decreto-Lei n.º 201, de 27 de fevereiro de 1967);</w:t>
      </w:r>
    </w:p>
    <w:p w:rsidR="0064052E" w:rsidRDefault="0064052E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052E" w:rsidRPr="0064052E" w:rsidRDefault="0064052E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III </w:t>
      </w:r>
      <w:r w:rsidR="00E04092">
        <w:rPr>
          <w:rFonts w:asciiTheme="minorHAnsi" w:hAnsiTheme="minorHAnsi" w:cstheme="minorHAnsi"/>
          <w:b/>
          <w:sz w:val="24"/>
          <w:szCs w:val="24"/>
        </w:rPr>
        <w:t>–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4092" w:rsidRPr="00E04092">
        <w:rPr>
          <w:rFonts w:asciiTheme="minorHAnsi" w:hAnsiTheme="minorHAnsi" w:cstheme="minorHAnsi"/>
          <w:sz w:val="24"/>
          <w:szCs w:val="24"/>
        </w:rPr>
        <w:t>Rejeição das contas pelo Legislativo Municipal, em razão do descumprimento do orçamento aprovado pelo Legislativo Municipal e de norma constitucional.</w:t>
      </w:r>
    </w:p>
    <w:p w:rsidR="00BC4138" w:rsidRDefault="00BC4138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E04092" w:rsidRDefault="00431293" w:rsidP="00E04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§17</w:t>
      </w:r>
      <w:r w:rsidR="00E04092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E04092" w:rsidRPr="00E04092">
        <w:rPr>
          <w:rFonts w:asciiTheme="minorHAnsi" w:hAnsiTheme="minorHAnsi" w:cstheme="minorHAnsi"/>
          <w:sz w:val="24"/>
          <w:szCs w:val="24"/>
        </w:rPr>
        <w:t xml:space="preserve">Sempre que houver descumprimento do orçamento impositivo, a Câmara Municipal </w:t>
      </w:r>
      <w:r w:rsidR="00B87CD6">
        <w:rPr>
          <w:rFonts w:asciiTheme="minorHAnsi" w:hAnsiTheme="minorHAnsi" w:cstheme="minorHAnsi"/>
          <w:sz w:val="24"/>
          <w:szCs w:val="24"/>
        </w:rPr>
        <w:t xml:space="preserve">e </w:t>
      </w:r>
      <w:r w:rsidR="00E04092" w:rsidRPr="00E04092">
        <w:rPr>
          <w:rFonts w:asciiTheme="minorHAnsi" w:hAnsiTheme="minorHAnsi" w:cstheme="minorHAnsi"/>
          <w:sz w:val="24"/>
          <w:szCs w:val="24"/>
        </w:rPr>
        <w:t>o próprio parlamentar autor da emenda descumpri</w:t>
      </w:r>
      <w:r w:rsidR="00B87CD6">
        <w:rPr>
          <w:rFonts w:asciiTheme="minorHAnsi" w:hAnsiTheme="minorHAnsi" w:cstheme="minorHAnsi"/>
          <w:sz w:val="24"/>
          <w:szCs w:val="24"/>
        </w:rPr>
        <w:t>da poderão</w:t>
      </w:r>
      <w:r w:rsidR="00E04092" w:rsidRPr="00E04092">
        <w:rPr>
          <w:rFonts w:asciiTheme="minorHAnsi" w:hAnsiTheme="minorHAnsi" w:cstheme="minorHAnsi"/>
          <w:sz w:val="24"/>
          <w:szCs w:val="24"/>
        </w:rPr>
        <w:t xml:space="preserve"> oficializar o Tribunal de Contas do Estado de Minas Gerais – TCE – MG, para fins de subsidiar o parecer prévio a ser emitido pelo mesmo</w:t>
      </w:r>
      <w:r w:rsidR="00E04092">
        <w:rPr>
          <w:rFonts w:asciiTheme="minorHAnsi" w:hAnsiTheme="minorHAnsi" w:cstheme="minorHAnsi"/>
          <w:b/>
          <w:sz w:val="24"/>
          <w:szCs w:val="24"/>
        </w:rPr>
        <w:t>.</w:t>
      </w:r>
    </w:p>
    <w:p w:rsidR="00E04092" w:rsidRPr="00BC4138" w:rsidRDefault="00E04092" w:rsidP="00E04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70FFB" w:rsidRPr="00BC4138" w:rsidRDefault="00BC4138" w:rsidP="00FC5F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138">
        <w:rPr>
          <w:rFonts w:asciiTheme="minorHAnsi" w:hAnsiTheme="minorHAnsi" w:cstheme="minorHAnsi"/>
          <w:b/>
          <w:sz w:val="24"/>
          <w:szCs w:val="24"/>
        </w:rPr>
        <w:t xml:space="preserve">Art. 2º. </w:t>
      </w:r>
      <w:r w:rsidRPr="00BC4138">
        <w:rPr>
          <w:rFonts w:asciiTheme="minorHAnsi" w:hAnsiTheme="minorHAnsi" w:cstheme="minorHAnsi"/>
          <w:sz w:val="24"/>
          <w:szCs w:val="24"/>
        </w:rPr>
        <w:t>Fica</w:t>
      </w:r>
      <w:r w:rsidR="00FC5F2E">
        <w:rPr>
          <w:rFonts w:asciiTheme="minorHAnsi" w:hAnsiTheme="minorHAnsi" w:cstheme="minorHAnsi"/>
          <w:sz w:val="24"/>
          <w:szCs w:val="24"/>
        </w:rPr>
        <w:t>m</w:t>
      </w:r>
      <w:r w:rsidRPr="00BC4138">
        <w:rPr>
          <w:rFonts w:asciiTheme="minorHAnsi" w:hAnsiTheme="minorHAnsi" w:cstheme="minorHAnsi"/>
          <w:sz w:val="24"/>
          <w:szCs w:val="24"/>
        </w:rPr>
        <w:t xml:space="preserve"> revogado</w:t>
      </w:r>
      <w:r w:rsidR="00FC5F2E">
        <w:rPr>
          <w:rFonts w:asciiTheme="minorHAnsi" w:hAnsiTheme="minorHAnsi" w:cstheme="minorHAnsi"/>
          <w:sz w:val="24"/>
          <w:szCs w:val="24"/>
        </w:rPr>
        <w:t>s</w:t>
      </w:r>
      <w:r w:rsidRPr="00BC4138">
        <w:rPr>
          <w:rFonts w:asciiTheme="minorHAnsi" w:hAnsiTheme="minorHAnsi" w:cstheme="minorHAnsi"/>
          <w:sz w:val="24"/>
          <w:szCs w:val="24"/>
        </w:rPr>
        <w:t xml:space="preserve"> o §</w:t>
      </w:r>
      <w:r w:rsidR="00FC5F2E">
        <w:rPr>
          <w:rFonts w:asciiTheme="minorHAnsi" w:hAnsiTheme="minorHAnsi" w:cstheme="minorHAnsi"/>
          <w:sz w:val="24"/>
          <w:szCs w:val="24"/>
        </w:rPr>
        <w:t>§</w:t>
      </w:r>
      <w:r w:rsidRPr="00BC4138">
        <w:rPr>
          <w:rFonts w:asciiTheme="minorHAnsi" w:hAnsiTheme="minorHAnsi" w:cstheme="minorHAnsi"/>
          <w:sz w:val="24"/>
          <w:szCs w:val="24"/>
        </w:rPr>
        <w:t xml:space="preserve">4º </w:t>
      </w:r>
      <w:r w:rsidR="00FC5F2E">
        <w:rPr>
          <w:rFonts w:asciiTheme="minorHAnsi" w:hAnsiTheme="minorHAnsi" w:cstheme="minorHAnsi"/>
          <w:sz w:val="24"/>
          <w:szCs w:val="24"/>
        </w:rPr>
        <w:t xml:space="preserve">e 10 </w:t>
      </w:r>
      <w:r w:rsidRPr="00BC4138">
        <w:rPr>
          <w:rFonts w:asciiTheme="minorHAnsi" w:hAnsiTheme="minorHAnsi" w:cstheme="minorHAnsi"/>
          <w:sz w:val="24"/>
          <w:szCs w:val="24"/>
        </w:rPr>
        <w:t>do Art. 126-</w:t>
      </w:r>
      <w:r w:rsidR="00FC5F2E">
        <w:rPr>
          <w:rFonts w:asciiTheme="minorHAnsi" w:hAnsiTheme="minorHAnsi" w:cstheme="minorHAnsi"/>
          <w:sz w:val="24"/>
          <w:szCs w:val="24"/>
        </w:rPr>
        <w:t>A, com redação dada pela Emenda O</w:t>
      </w:r>
      <w:r w:rsidRPr="00BC4138">
        <w:rPr>
          <w:rFonts w:asciiTheme="minorHAnsi" w:hAnsiTheme="minorHAnsi" w:cstheme="minorHAnsi"/>
          <w:sz w:val="24"/>
          <w:szCs w:val="24"/>
        </w:rPr>
        <w:t>rganizacional n.º 10, de 04 de dezembro de 2019.</w:t>
      </w:r>
    </w:p>
    <w:p w:rsidR="00370FFB" w:rsidRPr="00BC4138" w:rsidRDefault="00370FFB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045FC" w:rsidRPr="00BC4138" w:rsidRDefault="00FC5F2E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Art. 3</w:t>
      </w:r>
      <w:r>
        <w:rPr>
          <w:rFonts w:ascii="Arial" w:hAnsi="Arial" w:cs="Arial"/>
          <w:b/>
          <w:sz w:val="24"/>
          <w:szCs w:val="24"/>
        </w:rPr>
        <w:t>º</w:t>
      </w:r>
      <w:r w:rsidR="007E42A4" w:rsidRPr="00BC4138">
        <w:rPr>
          <w:rFonts w:asciiTheme="minorHAnsi" w:hAnsiTheme="minorHAnsi" w:cstheme="minorHAnsi"/>
          <w:sz w:val="24"/>
          <w:szCs w:val="24"/>
        </w:rPr>
        <w:t>. Esta Emenda Organizacional entra em vigor na data de sua publicação.</w:t>
      </w:r>
    </w:p>
    <w:p w:rsidR="003045FC" w:rsidRPr="00BC4138" w:rsidRDefault="003045FC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045FC" w:rsidRPr="00BC4138" w:rsidRDefault="007E42A4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138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E12C2F">
        <w:rPr>
          <w:rFonts w:asciiTheme="minorHAnsi" w:hAnsiTheme="minorHAnsi" w:cstheme="minorHAnsi"/>
          <w:sz w:val="24"/>
          <w:szCs w:val="24"/>
        </w:rPr>
        <w:t>em 06 de dezembro de 2023.</w:t>
      </w:r>
    </w:p>
    <w:p w:rsidR="003045FC" w:rsidRPr="00BC4138" w:rsidRDefault="003045FC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045FC" w:rsidRPr="00BC4138" w:rsidRDefault="00FC5F2E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HENRIQUE JÚNIOR DA SILVA</w:t>
      </w:r>
    </w:p>
    <w:p w:rsidR="003045FC" w:rsidRPr="00BC4138" w:rsidRDefault="007E42A4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138">
        <w:rPr>
          <w:rFonts w:asciiTheme="minorHAnsi" w:hAnsiTheme="minorHAnsi" w:cstheme="minorHAnsi"/>
          <w:sz w:val="24"/>
          <w:szCs w:val="24"/>
        </w:rPr>
        <w:t>Presidente da Câmara</w:t>
      </w:r>
    </w:p>
    <w:p w:rsidR="003045FC" w:rsidRDefault="003045FC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C5F2E" w:rsidRPr="00FC5F2E" w:rsidRDefault="007E6D14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SINVALDO JOSÉ LOPES</w:t>
      </w:r>
    </w:p>
    <w:p w:rsidR="003045FC" w:rsidRPr="00BC4138" w:rsidRDefault="007E42A4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138">
        <w:rPr>
          <w:rFonts w:asciiTheme="minorHAnsi" w:hAnsiTheme="minorHAnsi" w:cstheme="minorHAnsi"/>
          <w:sz w:val="24"/>
          <w:szCs w:val="24"/>
        </w:rPr>
        <w:t>Vice-Presidente</w:t>
      </w:r>
    </w:p>
    <w:p w:rsidR="003045FC" w:rsidRPr="00BC4138" w:rsidRDefault="003045FC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045FC" w:rsidRPr="00BC4138" w:rsidRDefault="00FC5F2E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TONI TOSHIO YAMASHITA</w:t>
      </w:r>
    </w:p>
    <w:p w:rsidR="003045FC" w:rsidRPr="00BC4138" w:rsidRDefault="007E42A4" w:rsidP="00BC4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138">
        <w:rPr>
          <w:rFonts w:asciiTheme="minorHAnsi" w:hAnsiTheme="minorHAnsi" w:cstheme="minorHAnsi"/>
          <w:sz w:val="24"/>
          <w:szCs w:val="24"/>
        </w:rPr>
        <w:t>Secretário da Mesa</w:t>
      </w:r>
    </w:p>
    <w:p w:rsidR="00E04092" w:rsidRDefault="00E04092" w:rsidP="00E12C2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4"/>
          <w:szCs w:val="24"/>
        </w:rPr>
      </w:pPr>
    </w:p>
    <w:sectPr w:rsidR="00E04092">
      <w:headerReference w:type="default" r:id="rId6"/>
      <w:footerReference w:type="default" r:id="rId7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1D2" w:rsidRDefault="004431D2">
      <w:pPr>
        <w:spacing w:after="0" w:line="240" w:lineRule="auto"/>
      </w:pPr>
      <w:r>
        <w:separator/>
      </w:r>
    </w:p>
  </w:endnote>
  <w:endnote w:type="continuationSeparator" w:id="0">
    <w:p w:rsidR="004431D2" w:rsidRDefault="0044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5FC" w:rsidRDefault="003045FC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</w:rPr>
    </w:pPr>
  </w:p>
  <w:p w:rsidR="003045FC" w:rsidRDefault="003045FC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1D2" w:rsidRDefault="004431D2">
      <w:pPr>
        <w:spacing w:after="0" w:line="240" w:lineRule="auto"/>
      </w:pPr>
      <w:r>
        <w:separator/>
      </w:r>
    </w:p>
  </w:footnote>
  <w:footnote w:type="continuationSeparator" w:id="0">
    <w:p w:rsidR="004431D2" w:rsidRDefault="0044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7030"/>
    </w:tblGrid>
    <w:tr w:rsidR="003045FC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3045FC" w:rsidRDefault="00E76187">
          <w:pPr>
            <w:pStyle w:val="Standard"/>
            <w:tabs>
              <w:tab w:val="center" w:pos="4419"/>
              <w:tab w:val="left" w:pos="8618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37D52BE" wp14:editId="19DC117A">
                <wp:extent cx="985520" cy="783590"/>
                <wp:effectExtent l="0" t="0" r="508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0" w:type="dxa"/>
          <w:tcBorders>
            <w:top w:val="nil"/>
            <w:left w:val="nil"/>
            <w:bottom w:val="nil"/>
            <w:right w:val="nil"/>
          </w:tcBorders>
        </w:tcPr>
        <w:p w:rsidR="00A434D7" w:rsidRPr="00A434D7" w:rsidRDefault="00A434D7">
          <w:pPr>
            <w:pStyle w:val="Standard"/>
            <w:tabs>
              <w:tab w:val="center" w:pos="4419"/>
              <w:tab w:val="left" w:pos="8788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A434D7">
            <w:rPr>
              <w:rFonts w:ascii="Calibri" w:hAnsi="Calibri" w:cs="Calibri"/>
              <w:b/>
              <w:sz w:val="32"/>
              <w:szCs w:val="32"/>
            </w:rPr>
            <w:t>PODER LEGISLATIVO</w:t>
          </w:r>
        </w:p>
        <w:p w:rsidR="003045FC" w:rsidRPr="00A434D7" w:rsidRDefault="007E42A4">
          <w:pPr>
            <w:pStyle w:val="Standard"/>
            <w:tabs>
              <w:tab w:val="center" w:pos="4419"/>
              <w:tab w:val="left" w:pos="8788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A434D7">
            <w:rPr>
              <w:rFonts w:ascii="Calibri" w:hAnsi="Calibri" w:cs="Calibri"/>
              <w:b/>
              <w:sz w:val="28"/>
              <w:szCs w:val="28"/>
            </w:rPr>
            <w:t>Câmara Municipal de Itapeva</w:t>
          </w:r>
        </w:p>
        <w:p w:rsidR="003045FC" w:rsidRPr="00A434D7" w:rsidRDefault="007E42A4">
          <w:pPr>
            <w:pStyle w:val="Standard"/>
            <w:tabs>
              <w:tab w:val="center" w:pos="4419"/>
              <w:tab w:val="left" w:pos="8788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A434D7">
            <w:rPr>
              <w:rFonts w:ascii="Calibri" w:hAnsi="Calibri" w:cs="Calibri"/>
              <w:b/>
              <w:sz w:val="28"/>
              <w:szCs w:val="28"/>
            </w:rPr>
            <w:t>Estado de Minas Gerais</w:t>
          </w:r>
        </w:p>
        <w:p w:rsidR="003045FC" w:rsidRPr="00A434D7" w:rsidRDefault="007E42A4">
          <w:pPr>
            <w:pStyle w:val="Standard"/>
            <w:tabs>
              <w:tab w:val="center" w:pos="4419"/>
              <w:tab w:val="left" w:pos="8788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ascii="Calibri" w:hAnsi="Calibri" w:cs="Calibri"/>
            </w:rPr>
          </w:pPr>
          <w:r w:rsidRPr="00A434D7">
            <w:rPr>
              <w:rFonts w:ascii="Calibri" w:hAnsi="Calibri" w:cs="Calibri"/>
            </w:rPr>
            <w:t>Rua Otavio Lemes da Silva, 152 - Centro - 37655-000</w:t>
          </w:r>
        </w:p>
        <w:p w:rsidR="003045FC" w:rsidRPr="00A434D7" w:rsidRDefault="007E42A4">
          <w:pPr>
            <w:pStyle w:val="Standard"/>
            <w:tabs>
              <w:tab w:val="center" w:pos="4419"/>
              <w:tab w:val="left" w:pos="8788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ascii="Calibri" w:hAnsi="Calibri" w:cs="Calibri"/>
            </w:rPr>
          </w:pPr>
          <w:r w:rsidRPr="00A434D7">
            <w:rPr>
              <w:rFonts w:ascii="Calibri" w:hAnsi="Calibri" w:cs="Calibri"/>
            </w:rPr>
            <w:t xml:space="preserve">PABX: (35) 3434.1177 / Fax (35) 3434.1582 </w:t>
          </w:r>
        </w:p>
        <w:p w:rsidR="003045FC" w:rsidRDefault="007E42A4" w:rsidP="00A434D7">
          <w:pPr>
            <w:pStyle w:val="Standard"/>
            <w:tabs>
              <w:tab w:val="center" w:pos="4419"/>
              <w:tab w:val="left" w:pos="8788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 w:rsidRPr="00A434D7">
            <w:rPr>
              <w:rFonts w:ascii="Calibri" w:hAnsi="Calibri" w:cs="Calibri"/>
            </w:rPr>
            <w:t>site: www.</w:t>
          </w:r>
          <w:r w:rsidR="00A434D7" w:rsidRPr="00A434D7">
            <w:rPr>
              <w:rFonts w:ascii="Calibri" w:hAnsi="Calibri" w:cs="Calibri"/>
            </w:rPr>
            <w:t>itapeva</w:t>
          </w:r>
          <w:r w:rsidRPr="00A434D7">
            <w:rPr>
              <w:rFonts w:ascii="Calibri" w:hAnsi="Calibri" w:cs="Calibri"/>
            </w:rPr>
            <w:t>.mg.</w:t>
          </w:r>
          <w:r w:rsidR="00A434D7" w:rsidRPr="00A434D7">
            <w:rPr>
              <w:rFonts w:ascii="Calibri" w:hAnsi="Calibri" w:cs="Calibri"/>
            </w:rPr>
            <w:t>leg</w:t>
          </w:r>
          <w:r w:rsidRPr="00A434D7">
            <w:rPr>
              <w:rFonts w:ascii="Calibri" w:hAnsi="Calibri" w:cs="Calibri"/>
            </w:rPr>
            <w:t>.br - e-mail: camara@itapeva.mg.</w:t>
          </w:r>
          <w:r w:rsidR="00A434D7" w:rsidRPr="00A434D7">
            <w:rPr>
              <w:rFonts w:ascii="Calibri" w:hAnsi="Calibri" w:cs="Calibri"/>
            </w:rPr>
            <w:t>leg</w:t>
          </w:r>
          <w:r w:rsidRPr="00A434D7">
            <w:rPr>
              <w:rFonts w:ascii="Calibri" w:hAnsi="Calibri" w:cs="Calibri"/>
            </w:rPr>
            <w:t>.br</w:t>
          </w:r>
        </w:p>
      </w:tc>
    </w:tr>
  </w:tbl>
  <w:p w:rsidR="003045FC" w:rsidRDefault="003045FC">
    <w:pPr>
      <w:pStyle w:val="Standard"/>
      <w:tabs>
        <w:tab w:val="center" w:pos="4419"/>
        <w:tab w:val="right" w:pos="8789"/>
      </w:tabs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87"/>
    <w:rsid w:val="000C1228"/>
    <w:rsid w:val="0016487B"/>
    <w:rsid w:val="00216B97"/>
    <w:rsid w:val="00222017"/>
    <w:rsid w:val="003045FC"/>
    <w:rsid w:val="00370FFB"/>
    <w:rsid w:val="00431293"/>
    <w:rsid w:val="004431D2"/>
    <w:rsid w:val="0044475A"/>
    <w:rsid w:val="0052034A"/>
    <w:rsid w:val="00632772"/>
    <w:rsid w:val="0064052E"/>
    <w:rsid w:val="007A48B0"/>
    <w:rsid w:val="007E42A4"/>
    <w:rsid w:val="007E60B2"/>
    <w:rsid w:val="007E6D14"/>
    <w:rsid w:val="00841E43"/>
    <w:rsid w:val="008C55D5"/>
    <w:rsid w:val="00A15FFC"/>
    <w:rsid w:val="00A434D7"/>
    <w:rsid w:val="00AF4C8E"/>
    <w:rsid w:val="00B87CD6"/>
    <w:rsid w:val="00BA73E0"/>
    <w:rsid w:val="00BB156E"/>
    <w:rsid w:val="00BC4138"/>
    <w:rsid w:val="00C15170"/>
    <w:rsid w:val="00C908DD"/>
    <w:rsid w:val="00D05231"/>
    <w:rsid w:val="00D9457A"/>
    <w:rsid w:val="00E04092"/>
    <w:rsid w:val="00E12C2F"/>
    <w:rsid w:val="00E447DE"/>
    <w:rsid w:val="00E76187"/>
    <w:rsid w:val="00FA0B89"/>
    <w:rsid w:val="00FC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00D55D1F-B178-4B98-BFF2-175A1645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4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3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34D7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A43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34D7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C41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Base>C:\LEGIS2\DOT\TX\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User</cp:lastModifiedBy>
  <cp:revision>2</cp:revision>
  <cp:lastPrinted>2023-12-05T18:26:00Z</cp:lastPrinted>
  <dcterms:created xsi:type="dcterms:W3CDTF">2023-12-06T14:14:00Z</dcterms:created>
  <dcterms:modified xsi:type="dcterms:W3CDTF">2023-12-06T14:14:00Z</dcterms:modified>
</cp:coreProperties>
</file>