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A1A68" w:rsidRDefault="00FA1A68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720D" w:rsidRPr="00FA1A68" w:rsidRDefault="004D63BC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FA1A68">
        <w:rPr>
          <w:b/>
          <w:bCs/>
          <w:sz w:val="32"/>
          <w:szCs w:val="32"/>
        </w:rPr>
        <w:t>LEI</w:t>
      </w:r>
      <w:r w:rsidR="001D7911" w:rsidRPr="00FA1A68">
        <w:rPr>
          <w:b/>
          <w:bCs/>
          <w:sz w:val="32"/>
          <w:szCs w:val="32"/>
        </w:rPr>
        <w:t xml:space="preserve"> </w:t>
      </w:r>
      <w:r w:rsidR="00F8562F" w:rsidRPr="00FA1A68">
        <w:rPr>
          <w:b/>
          <w:bCs/>
          <w:sz w:val="32"/>
          <w:szCs w:val="32"/>
        </w:rPr>
        <w:t xml:space="preserve">Nº </w:t>
      </w:r>
      <w:r w:rsidR="00FA1A68" w:rsidRPr="00FA1A68">
        <w:rPr>
          <w:b/>
          <w:bCs/>
          <w:sz w:val="32"/>
          <w:szCs w:val="32"/>
        </w:rPr>
        <w:t>1708</w:t>
      </w:r>
      <w:r w:rsidR="00660B79" w:rsidRPr="00FA1A68">
        <w:rPr>
          <w:b/>
          <w:bCs/>
          <w:sz w:val="32"/>
          <w:szCs w:val="32"/>
        </w:rPr>
        <w:t xml:space="preserve"> DE </w:t>
      </w:r>
      <w:r w:rsidR="00E576E6" w:rsidRPr="00FA1A68">
        <w:rPr>
          <w:b/>
          <w:bCs/>
          <w:sz w:val="32"/>
          <w:szCs w:val="32"/>
        </w:rPr>
        <w:t>2</w:t>
      </w:r>
      <w:r w:rsidR="001D7911" w:rsidRPr="00FA1A68">
        <w:rPr>
          <w:b/>
          <w:bCs/>
          <w:sz w:val="32"/>
          <w:szCs w:val="32"/>
        </w:rPr>
        <w:t>1</w:t>
      </w:r>
      <w:r w:rsidR="00946115" w:rsidRPr="00FA1A68">
        <w:rPr>
          <w:b/>
          <w:bCs/>
          <w:sz w:val="32"/>
          <w:szCs w:val="32"/>
        </w:rPr>
        <w:t xml:space="preserve"> DE </w:t>
      </w:r>
      <w:r w:rsidR="001D7911" w:rsidRPr="00FA1A68">
        <w:rPr>
          <w:b/>
          <w:bCs/>
          <w:sz w:val="32"/>
          <w:szCs w:val="32"/>
        </w:rPr>
        <w:t>JUL</w:t>
      </w:r>
      <w:r w:rsidR="00E576E6" w:rsidRPr="00FA1A68">
        <w:rPr>
          <w:b/>
          <w:bCs/>
          <w:sz w:val="32"/>
          <w:szCs w:val="32"/>
        </w:rPr>
        <w:t>HO</w:t>
      </w:r>
      <w:r w:rsidR="00946115" w:rsidRPr="00FA1A68">
        <w:rPr>
          <w:b/>
          <w:bCs/>
          <w:sz w:val="32"/>
          <w:szCs w:val="32"/>
        </w:rPr>
        <w:t xml:space="preserve"> DE 2025</w:t>
      </w:r>
    </w:p>
    <w:p w:rsidR="00E576E6" w:rsidRPr="00FA1A68" w:rsidRDefault="00E576E6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E576E6" w:rsidRPr="00FA1A68" w:rsidRDefault="00E576E6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FA1A68" w:rsidRPr="00FA1A68" w:rsidRDefault="00FA1A68" w:rsidP="00FA1A68">
      <w:pPr>
        <w:pStyle w:val="SemEspaamento"/>
        <w:ind w:left="3969"/>
        <w:jc w:val="both"/>
        <w:rPr>
          <w:rFonts w:ascii="Arial" w:hAnsi="Arial" w:cs="Arial"/>
          <w:b/>
          <w:i/>
          <w:sz w:val="25"/>
          <w:szCs w:val="25"/>
        </w:rPr>
      </w:pPr>
      <w:r w:rsidRPr="00FA1A68">
        <w:rPr>
          <w:rFonts w:ascii="Arial" w:hAnsi="Arial" w:cs="Arial"/>
          <w:b/>
          <w:i/>
          <w:sz w:val="25"/>
          <w:szCs w:val="25"/>
        </w:rPr>
        <w:t>REGULAMENTA O PAGAMENTO DO INCENTIVO ADICIONAL REFERENTE AO COMPONENTE DE QUALIDADE NA ATENÇÃO PRIMÁRIA À SAÚDE (APS) NO MUNICÍPIO DE ITAPEVA-MG, CONFORME ESTABELECIDO NA PORTARIA Nº 3.493, DE 10 DE ABRIL DE 2024, E DÁ OUTRAS PROVIDÊNCIAS.</w:t>
      </w:r>
    </w:p>
    <w:p w:rsidR="00FA1A68" w:rsidRPr="00FA1A68" w:rsidRDefault="00FA1A68" w:rsidP="00FA1A68">
      <w:pPr>
        <w:pStyle w:val="SemEspaamento"/>
        <w:ind w:left="3969"/>
        <w:jc w:val="both"/>
        <w:rPr>
          <w:rFonts w:ascii="Arial" w:hAnsi="Arial" w:cs="Arial"/>
          <w:b/>
          <w:i/>
          <w:sz w:val="25"/>
          <w:szCs w:val="25"/>
        </w:rPr>
      </w:pPr>
    </w:p>
    <w:p w:rsidR="00FA1A68" w:rsidRPr="00FA1A68" w:rsidRDefault="00FA1A68" w:rsidP="00FA1A68">
      <w:pPr>
        <w:pStyle w:val="SemEspaamento"/>
        <w:jc w:val="both"/>
        <w:rPr>
          <w:rFonts w:ascii="Arial" w:hAnsi="Arial" w:cs="Arial"/>
          <w:bCs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color w:val="000000"/>
          <w:sz w:val="25"/>
          <w:szCs w:val="25"/>
        </w:rPr>
      </w:pP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O Excelentíssimo Prefeito Municipal de Itapeva/MG, DANIEL PEREIRA DO COUTO, no uso de suas atribuições legais, faz saber que a Câmara Municipal de Itapeva/MG aprovou e ela sanciona a seguinte </w:t>
      </w:r>
      <w:r w:rsidRPr="00FA1A68">
        <w:rPr>
          <w:rFonts w:ascii="Arial" w:hAnsi="Arial" w:cs="Arial"/>
          <w:color w:val="000000"/>
          <w:sz w:val="25"/>
          <w:szCs w:val="25"/>
        </w:rPr>
        <w:t xml:space="preserve">LEI: 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 xml:space="preserve">Art. 1º.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Fica estabelecida a normatização, no âmbito municipal de Itapeva-MG, para o pagamento do incentivo adicional vinculado ao componente de qualidade destinado às equipes da Atenção Primária à Saúde (APS), conforme os dispositivos da Portaria nº 3.493, de 10 de abril de 2024, do Ministério da Saúde.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 xml:space="preserve">Art. 2º.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O incentivo adicional será concedido anualmente, em parcela única, no mês subsequente ao último quadrimestre da avaliação das equipes, atendendo aos seguintes critérios: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I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 - O montante será calculado com base na média do desempenho anual das equipes, considerando os indicadores de qualidade definidos pelo Ministério da Saúde;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II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 - O pagamento será direcionado exclusivamente aos profissionais pertencentes às Equipes de Estratégia Saúde da Família (eSF), Equipes de Atenção Primária à Saúde (eAP), Equipes de Saúde Bucal (eSB), Equipes Multiprofissionais (e-Multi) que estejam devidamente registrados no Cadastro Nacional de Estabelecimentos de Saúde (CNES) e/ou vinculados a um Identificador Nacional de Equipe (INE) homologado pelo Ministério da Saúde, cujo recurso financeiro tenha sido enviado no ano corrente,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lastRenderedPageBreak/>
        <w:t>conforme comprovação visualizada no site do Fundo Nacional de Saúde (FNS).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III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 - Integram cada modalidade de equipe os seguintes profissionais: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 xml:space="preserve">a)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Equipe de Estratégia Saúde da Família (eSF):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1. Médico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2. Enfermeiro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3. Técnico ou auxiliar de enfermagem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4. Agente comunitário de saúde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b) </w:t>
      </w:r>
      <w:r w:rsidRPr="00FA1A68">
        <w:rPr>
          <w:rFonts w:ascii="Arial" w:hAnsi="Arial" w:cs="Arial"/>
          <w:sz w:val="25"/>
          <w:szCs w:val="25"/>
        </w:rPr>
        <w:t>Equipe de Atenção Primária (eAP):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1. Médico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2. Enfermeiro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3. Técnico ou auxiliar de enfermagem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color w:val="000000"/>
          <w:sz w:val="25"/>
          <w:szCs w:val="25"/>
        </w:rPr>
      </w:pPr>
      <w:r w:rsidRPr="00FA1A68">
        <w:rPr>
          <w:rFonts w:ascii="Arial" w:hAnsi="Arial" w:cs="Arial"/>
          <w:b/>
          <w:color w:val="000000"/>
          <w:sz w:val="25"/>
          <w:szCs w:val="25"/>
        </w:rPr>
        <w:t xml:space="preserve">c) </w:t>
      </w:r>
      <w:r w:rsidRPr="00FA1A68">
        <w:rPr>
          <w:rFonts w:ascii="Arial" w:hAnsi="Arial" w:cs="Arial"/>
          <w:color w:val="000000"/>
          <w:sz w:val="25"/>
          <w:szCs w:val="25"/>
        </w:rPr>
        <w:t>Equipe de Saúde Bucal (eSB):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1. Cirurgião-dentista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2. Técnico ou auxiliar de saúde bucal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d) </w:t>
      </w:r>
      <w:r w:rsidRPr="00FA1A68">
        <w:rPr>
          <w:rFonts w:ascii="Arial" w:hAnsi="Arial" w:cs="Arial"/>
          <w:sz w:val="25"/>
          <w:szCs w:val="25"/>
        </w:rPr>
        <w:t>Equipe Multiprofissional (e-Multi), conforme a Portaria GM/MS nº 635, de 22 de maio de 2023, de acordo com a modalidade da equipe:</w:t>
      </w:r>
    </w:p>
    <w:p w:rsidR="00FA1A68" w:rsidRPr="00FA1A68" w:rsidRDefault="00FA1A68" w:rsidP="00FA1A68">
      <w:pPr>
        <w:pStyle w:val="SemEspaamento"/>
        <w:jc w:val="both"/>
        <w:rPr>
          <w:rFonts w:ascii="Arial" w:hAnsi="Arial" w:cs="Arial"/>
          <w:sz w:val="25"/>
          <w:szCs w:val="25"/>
        </w:rPr>
      </w:pPr>
    </w:p>
    <w:tbl>
      <w:tblPr>
        <w:tblW w:w="9306" w:type="dxa"/>
        <w:jc w:val="center"/>
        <w:tblLayout w:type="fixed"/>
        <w:tblLook w:val="0400" w:firstRow="0" w:lastRow="0" w:firstColumn="0" w:lastColumn="0" w:noHBand="0" w:noVBand="1"/>
      </w:tblPr>
      <w:tblGrid>
        <w:gridCol w:w="1536"/>
        <w:gridCol w:w="1559"/>
        <w:gridCol w:w="1418"/>
        <w:gridCol w:w="1417"/>
        <w:gridCol w:w="3376"/>
      </w:tblGrid>
      <w:tr w:rsidR="00FA1A68" w:rsidRPr="00FA1A68" w:rsidTr="00F92764">
        <w:trPr>
          <w:trHeight w:val="570"/>
          <w:jc w:val="center"/>
        </w:trPr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Equipe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Modalidade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Carga Horária Mínima de Equipe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Carga Horária máxima por categoria profissional</w:t>
            </w:r>
          </w:p>
        </w:tc>
        <w:tc>
          <w:tcPr>
            <w:tcW w:w="33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Composição Fixa</w:t>
            </w:r>
          </w:p>
        </w:tc>
      </w:tr>
      <w:tr w:rsidR="00FA1A68" w:rsidRPr="00FA1A68" w:rsidTr="00F92764">
        <w:trPr>
          <w:trHeight w:val="1449"/>
          <w:jc w:val="center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e-Multi (NASF)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Complementar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200h semanais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80 horas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Assistente social ou Farmacêutico (a) clínico (a) ou Nutricionista ou Psicólogo (a) Fisioterapeuta ou fonoaudiólogo (a) ou profissional de educação física na Saúde ou terapeuta ocupacional</w:t>
            </w:r>
          </w:p>
        </w:tc>
      </w:tr>
      <w:tr w:rsidR="00FA1A68" w:rsidRPr="00FA1A68" w:rsidTr="00F92764">
        <w:trPr>
          <w:trHeight w:val="446"/>
          <w:jc w:val="center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 xml:space="preserve">e-Multi </w:t>
            </w: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lastRenderedPageBreak/>
              <w:t>(NASF)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Estratégica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 xml:space="preserve">100 h </w:t>
            </w: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semanais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40 horas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 xml:space="preserve">Nutricionista ou Psicólogo </w:t>
            </w: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(a)</w:t>
            </w:r>
          </w:p>
        </w:tc>
      </w:tr>
      <w:tr w:rsidR="00FA1A68" w:rsidRPr="00FA1A68" w:rsidTr="00F92764">
        <w:trPr>
          <w:trHeight w:val="3205"/>
          <w:jc w:val="center"/>
        </w:trPr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lastRenderedPageBreak/>
              <w:t>Composição Variável de ambas as equipes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Arte Educador, Assistente Social, Farmacêutico(a) Clínico(a), Fisioterapeuta, Fonoaudiólogo(a), Nutricionista, Profissional de Educação Física na Saúde, Psicólogo(a), Sanitarista, Terapeuta Ocupacional, Médico(a) Veterinário e Médicos(as): Acupunturista, Cardiologista, Dermatologista, Endocrinologista, Geriatra, Ginecologista/Obstetra, Hansenologista, Homeopata, Infectologista, Pediatra, Psiquiatra.</w:t>
            </w:r>
          </w:p>
        </w:tc>
      </w:tr>
      <w:tr w:rsidR="00FA1A68" w:rsidRPr="00FA1A68" w:rsidTr="00F92764">
        <w:trPr>
          <w:trHeight w:val="700"/>
          <w:jc w:val="center"/>
        </w:trPr>
        <w:tc>
          <w:tcPr>
            <w:tcW w:w="9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A carga horária individual mínima médica exigida por equipe é de 10 horas semanais e a carga horária individual mínima das demais categorias profissionais exigida por equipe é de 20 horas semanais.</w:t>
            </w:r>
          </w:p>
        </w:tc>
      </w:tr>
    </w:tbl>
    <w:p w:rsidR="00FA1A68" w:rsidRPr="00FA1A68" w:rsidRDefault="00FA1A68" w:rsidP="00FA1A68">
      <w:pPr>
        <w:pStyle w:val="SemEspaamento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IV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 – Para fins de equiparação e repasse, tem-se que a equipe e-Multi descrita na Portaria que instituiu o incentivo é a equipe instituída pelo Município de Itapeva, denominada NASF.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 xml:space="preserve">V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- O incentivo financeiro não será concedido ao profissional com período de afastamento superior a 15 dias consecutivos dentro do período avaliado, sendo pago proporcionalmente aos dias trabalhados;</w:t>
      </w:r>
      <w:bookmarkStart w:id="1" w:name="_heading=h.8ksboi7691w8"/>
      <w:bookmarkEnd w:id="1"/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VI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- O cálculo do incentivo financeiro do componente de qualidade para as eSF, eAP, eSB e e-Multi (NASF) será efetuado considerando os resultados alcançados pelas equipes nos indicadores com base na média do alcance dos resultados obtidos no ciclo anual.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VII</w:t>
      </w:r>
      <w:r w:rsidRPr="00FA1A68">
        <w:rPr>
          <w:rFonts w:ascii="Arial" w:hAnsi="Arial" w:cs="Arial"/>
          <w:sz w:val="25"/>
          <w:szCs w:val="25"/>
        </w:rPr>
        <w:t>- Fica estabelecido que, no âmbito do financiamento da Atenção Primária à Saúde, caso haja a manutenção do indicador de desempenho relacionado à vacinação e os profissionais que atuam diretamente na estratégia de imunização, mesmo que não integrem as equipes de Atenção Primária à Saúde (seja ESF ou eAP), farão jus ao pagamento em parcela única do incentivo financeiro referente ao indicador, que será realizado de maneira proporcional à quantidade de indicadores existentes e resultado obtido: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a) </w:t>
      </w:r>
      <w:r w:rsidRPr="00FA1A68">
        <w:rPr>
          <w:rFonts w:ascii="Arial" w:hAnsi="Arial" w:cs="Arial"/>
          <w:sz w:val="25"/>
          <w:szCs w:val="25"/>
        </w:rPr>
        <w:t>Cálculo: número de indicadores referentes à vacinação dividido pelo número total de todos os indicadores de desempenho considerados para o repasse financeiro às equipes de ESF e eAP. (Ex:  indicador de vacina/ número total de indicadores de desempenho x100=)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VIII</w:t>
      </w:r>
      <w:r w:rsidRPr="00FA1A68">
        <w:rPr>
          <w:rFonts w:ascii="Arial" w:hAnsi="Arial" w:cs="Arial"/>
          <w:sz w:val="25"/>
          <w:szCs w:val="25"/>
        </w:rPr>
        <w:t>- O incentivo será dividido igualmente entre os profissionais diretamente envolvidos na estratégia de imunização, considerando a classificação obtida no indicador de maneira proporcional aos demais indicadores em saúde.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§1º - </w:t>
      </w:r>
      <w:r w:rsidRPr="00FA1A68">
        <w:rPr>
          <w:rFonts w:ascii="Arial" w:hAnsi="Arial" w:cs="Arial"/>
          <w:sz w:val="25"/>
          <w:szCs w:val="25"/>
        </w:rPr>
        <w:t xml:space="preserve"> O pagamento do Incentivo Adicional do Componente de Qualidade está condicionado e </w:t>
      </w:r>
      <w:r w:rsidRPr="00FA1A68">
        <w:rPr>
          <w:rFonts w:ascii="Arial" w:hAnsi="Arial" w:cs="Arial"/>
          <w:b/>
          <w:i/>
          <w:sz w:val="25"/>
          <w:szCs w:val="25"/>
        </w:rPr>
        <w:t xml:space="preserve">limitado </w:t>
      </w:r>
      <w:r w:rsidRPr="00FA1A68">
        <w:rPr>
          <w:rFonts w:ascii="Arial" w:hAnsi="Arial" w:cs="Arial"/>
          <w:sz w:val="25"/>
          <w:szCs w:val="25"/>
        </w:rPr>
        <w:t>ao valor do repasse do Governo Federal.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§2º - </w:t>
      </w:r>
      <w:r w:rsidRPr="00FA1A68">
        <w:rPr>
          <w:rFonts w:ascii="Arial" w:hAnsi="Arial" w:cs="Arial"/>
          <w:sz w:val="25"/>
          <w:szCs w:val="25"/>
        </w:rPr>
        <w:t xml:space="preserve"> O incentivo adicional em nenhuma hipótese incorporará ao salário do servidor.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color w:val="000000"/>
          <w:sz w:val="25"/>
          <w:szCs w:val="25"/>
        </w:rPr>
      </w:pPr>
      <w:r w:rsidRPr="00FA1A68">
        <w:rPr>
          <w:rFonts w:ascii="Arial" w:hAnsi="Arial" w:cs="Arial"/>
          <w:b/>
          <w:color w:val="000000"/>
          <w:sz w:val="25"/>
          <w:szCs w:val="25"/>
        </w:rPr>
        <w:t>Art. 3º</w:t>
      </w:r>
      <w:r w:rsidRPr="00FA1A68">
        <w:rPr>
          <w:rFonts w:ascii="Arial" w:hAnsi="Arial" w:cs="Arial"/>
          <w:color w:val="000000"/>
          <w:sz w:val="25"/>
          <w:szCs w:val="25"/>
        </w:rPr>
        <w:t>- A responsabilidade pelo cálculo dos indicadores e pela transferência dos recursos financeiros é do Ministério da Saúde, bem como pela divulgação dos resultados no sistema de informação correspondente.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Art. 4º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- Caso o Ministério da Saúde não disponibilize as informações para monitoramento e acompanhamento dos indicadores pactuados pelo município, será transferido o valor referente à classificação "bom" até a disponibilização das informações reais correspondentes ao desempenho de cada equipe e o pagamento do incentivo financeiro em parcela única, será dividido igualmente e integralmente entre todos os integrantes da equipe que obtiveram a mesma classificação.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Art. 5º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 xml:space="preserve"> - A partir da disponibilização dos resultados pelo Ministério da Saúde, cada equipe receberá o valor do incentivo conforme a média dos resultados obtidos no ciclo anual, seguindo as seguintes classificações: Ótimo, Bom, Suficiente, Regular. Desta forma, os valores dos repasses serão definidos com base na classificação das equipes de acordo com os parâmetros da Portaria nº 3.493/2024. conforme a tabela abaixo:</w:t>
      </w:r>
    </w:p>
    <w:p w:rsidR="00FA1A68" w:rsidRPr="00FA1A68" w:rsidRDefault="00FA1A68" w:rsidP="00FA1A68">
      <w:pPr>
        <w:pStyle w:val="SemEspaamento"/>
        <w:spacing w:line="276" w:lineRule="auto"/>
        <w:ind w:firstLine="709"/>
        <w:jc w:val="both"/>
        <w:rPr>
          <w:rFonts w:ascii="Arial" w:hAnsi="Arial" w:cs="Arial"/>
          <w:bCs/>
          <w:color w:val="365F91"/>
          <w:sz w:val="25"/>
          <w:szCs w:val="25"/>
        </w:rPr>
      </w:pPr>
    </w:p>
    <w:tbl>
      <w:tblPr>
        <w:tblW w:w="9092" w:type="dxa"/>
        <w:jc w:val="center"/>
        <w:tblLayout w:type="fixed"/>
        <w:tblLook w:val="0400" w:firstRow="0" w:lastRow="0" w:firstColumn="0" w:lastColumn="0" w:noHBand="0" w:noVBand="1"/>
      </w:tblPr>
      <w:tblGrid>
        <w:gridCol w:w="1012"/>
        <w:gridCol w:w="1559"/>
        <w:gridCol w:w="1701"/>
        <w:gridCol w:w="1985"/>
        <w:gridCol w:w="1417"/>
        <w:gridCol w:w="1418"/>
      </w:tblGrid>
      <w:tr w:rsidR="00FA1A68" w:rsidRPr="00FA1A68" w:rsidTr="00D91A30">
        <w:trPr>
          <w:trHeight w:val="560"/>
          <w:jc w:val="center"/>
        </w:trPr>
        <w:tc>
          <w:tcPr>
            <w:tcW w:w="9092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COMPONENTE DE QUALIDADE- eSF, eAP, eSB e e-Multi</w:t>
            </w:r>
          </w:p>
        </w:tc>
      </w:tr>
      <w:tr w:rsidR="00FA1A68" w:rsidRPr="00FA1A68" w:rsidTr="00D91A30">
        <w:trPr>
          <w:trHeight w:val="570"/>
          <w:jc w:val="center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Equip</w:t>
            </w:r>
            <w:r w:rsidRPr="00FA1A68">
              <w:rPr>
                <w:rFonts w:ascii="Arial" w:hAnsi="Arial" w:cs="Arial"/>
                <w:b/>
                <w:sz w:val="25"/>
                <w:szCs w:val="25"/>
              </w:rPr>
              <w:lastRenderedPageBreak/>
              <w:t>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lastRenderedPageBreak/>
              <w:t>Modalidad</w:t>
            </w:r>
            <w:r w:rsidRPr="00FA1A68">
              <w:rPr>
                <w:rFonts w:ascii="Arial" w:hAnsi="Arial" w:cs="Arial"/>
                <w:b/>
                <w:sz w:val="25"/>
                <w:szCs w:val="25"/>
              </w:rPr>
              <w:lastRenderedPageBreak/>
              <w:t>e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lastRenderedPageBreak/>
              <w:t>Classificação no Componente de Qualidade</w:t>
            </w:r>
          </w:p>
        </w:tc>
      </w:tr>
      <w:tr w:rsidR="00FA1A68" w:rsidRPr="00FA1A68" w:rsidTr="00D91A30">
        <w:trPr>
          <w:trHeight w:val="70"/>
          <w:jc w:val="center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Ótimo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Bom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Suficiente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both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Regular</w:t>
            </w:r>
          </w:p>
        </w:tc>
      </w:tr>
      <w:tr w:rsidR="00FA1A68" w:rsidRPr="00FA1A68" w:rsidTr="00D91A30">
        <w:trPr>
          <w:trHeight w:val="300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eSF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40h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R$ 8.000,00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R$ 6.000,00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R$ 4.000,00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R$ 2.000,00</w:t>
            </w:r>
          </w:p>
        </w:tc>
      </w:tr>
      <w:tr w:rsidR="00FA1A68" w:rsidRPr="00FA1A68" w:rsidTr="00D91A30">
        <w:trPr>
          <w:trHeight w:val="700"/>
          <w:jc w:val="center"/>
        </w:trPr>
        <w:tc>
          <w:tcPr>
            <w:tcW w:w="1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eAP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30h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R$ 4.000,00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R$ 3.000,00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R$ 2.000,00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R$ 1.000,00</w:t>
            </w:r>
          </w:p>
        </w:tc>
      </w:tr>
      <w:tr w:rsidR="00FA1A68" w:rsidRPr="00FA1A68" w:rsidTr="00D91A30">
        <w:trPr>
          <w:trHeight w:val="570"/>
          <w:jc w:val="center"/>
        </w:trPr>
        <w:tc>
          <w:tcPr>
            <w:tcW w:w="10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color w:val="000000"/>
                <w:sz w:val="25"/>
                <w:szCs w:val="25"/>
              </w:rPr>
              <w:t>eSB-I- Comum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40h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R$ 2.449,00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R$ 1.836,75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R$ 1.224,50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FA1A68">
              <w:rPr>
                <w:rFonts w:ascii="Arial" w:hAnsi="Arial" w:cs="Arial"/>
                <w:color w:val="000000"/>
                <w:sz w:val="25"/>
                <w:szCs w:val="25"/>
              </w:rPr>
              <w:t>R$ 612,25</w:t>
            </w:r>
          </w:p>
        </w:tc>
      </w:tr>
      <w:tr w:rsidR="00FA1A68" w:rsidRPr="00FA1A68" w:rsidTr="00D91A30">
        <w:trPr>
          <w:trHeight w:val="570"/>
          <w:jc w:val="center"/>
        </w:trPr>
        <w:tc>
          <w:tcPr>
            <w:tcW w:w="10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e-Multi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Complementar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R$ 6.000,00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R$ 4.500,00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R$ 1.500,00</w:t>
            </w:r>
          </w:p>
        </w:tc>
      </w:tr>
      <w:tr w:rsidR="00FA1A68" w:rsidRPr="00FA1A68" w:rsidTr="00D91A30">
        <w:trPr>
          <w:trHeight w:val="570"/>
          <w:jc w:val="center"/>
        </w:trPr>
        <w:tc>
          <w:tcPr>
            <w:tcW w:w="10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FA1A68">
              <w:rPr>
                <w:rFonts w:ascii="Arial" w:hAnsi="Arial" w:cs="Arial"/>
                <w:b/>
                <w:sz w:val="25"/>
                <w:szCs w:val="25"/>
              </w:rPr>
              <w:t>e-Multi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Estratégica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R$ 3.000,00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R$ 2.250,00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R$ 1.500,00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1A68" w:rsidRPr="00FA1A68" w:rsidRDefault="00FA1A68" w:rsidP="00F92764">
            <w:pPr>
              <w:pStyle w:val="SemEspaamento"/>
              <w:jc w:val="right"/>
              <w:rPr>
                <w:rFonts w:ascii="Arial" w:hAnsi="Arial" w:cs="Arial"/>
                <w:sz w:val="25"/>
                <w:szCs w:val="25"/>
              </w:rPr>
            </w:pPr>
            <w:r w:rsidRPr="00FA1A68">
              <w:rPr>
                <w:rFonts w:ascii="Arial" w:hAnsi="Arial" w:cs="Arial"/>
                <w:sz w:val="25"/>
                <w:szCs w:val="25"/>
              </w:rPr>
              <w:t>R$ 750,00</w:t>
            </w:r>
          </w:p>
        </w:tc>
      </w:tr>
    </w:tbl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color w:val="000000"/>
          <w:sz w:val="25"/>
          <w:szCs w:val="25"/>
        </w:rPr>
        <w:t>Art. 6º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. O incentivo será dividido igualmente entre os profissionais cuja equipe recebeu a mesma classificação, considerando a modalidade da equipe, por meio do seguinte cálculo: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sz w:val="25"/>
          <w:szCs w:val="25"/>
        </w:rPr>
        <w:t>I - Valor do repasse por profissional = (Total do incentivo repassado a equipe segundo a sua classificação÷ (Número de profissionais cadastrados no CNES cuja equipe recebeu a mesma classificação).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sz w:val="25"/>
          <w:szCs w:val="25"/>
        </w:rPr>
        <w:t>Art. 7º</w:t>
      </w:r>
      <w:r w:rsidRPr="00FA1A68">
        <w:rPr>
          <w:rFonts w:ascii="Arial" w:hAnsi="Arial" w:cs="Arial"/>
          <w:bCs/>
          <w:sz w:val="25"/>
          <w:szCs w:val="25"/>
        </w:rPr>
        <w:t xml:space="preserve">.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Os recursos deverão ser distribuídos com transparência, equidade e proporcionalidade.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sz w:val="25"/>
          <w:szCs w:val="25"/>
        </w:rPr>
        <w:t>Art. 8º</w:t>
      </w:r>
      <w:r w:rsidRPr="00FA1A68">
        <w:rPr>
          <w:rFonts w:ascii="Arial" w:hAnsi="Arial" w:cs="Arial"/>
          <w:bCs/>
          <w:sz w:val="25"/>
          <w:szCs w:val="25"/>
        </w:rPr>
        <w:t xml:space="preserve">.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Os objetivos do incentivo adicional incluem: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I</w:t>
      </w:r>
      <w:r w:rsidRPr="00FA1A68">
        <w:rPr>
          <w:rFonts w:ascii="Arial" w:hAnsi="Arial" w:cs="Arial"/>
          <w:sz w:val="25"/>
          <w:szCs w:val="25"/>
        </w:rPr>
        <w:t xml:space="preserve"> - Elevar os indicadores de saúde da população atendida;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II</w:t>
      </w:r>
      <w:r w:rsidRPr="00FA1A68">
        <w:rPr>
          <w:rFonts w:ascii="Arial" w:hAnsi="Arial" w:cs="Arial"/>
          <w:sz w:val="25"/>
          <w:szCs w:val="25"/>
        </w:rPr>
        <w:t xml:space="preserve"> - Valorizar o desempenho das equipes;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 xml:space="preserve">III </w:t>
      </w:r>
      <w:r w:rsidRPr="00FA1A68">
        <w:rPr>
          <w:rFonts w:ascii="Arial" w:hAnsi="Arial" w:cs="Arial"/>
          <w:sz w:val="25"/>
          <w:szCs w:val="25"/>
        </w:rPr>
        <w:t>- Reforçar a promoção, prevenção e cuidado integral.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5"/>
          <w:szCs w:val="25"/>
        </w:rPr>
      </w:pPr>
      <w:r w:rsidRPr="00FA1A68">
        <w:rPr>
          <w:rFonts w:ascii="Arial" w:hAnsi="Arial" w:cs="Arial"/>
          <w:b/>
          <w:bCs/>
          <w:sz w:val="25"/>
          <w:szCs w:val="25"/>
        </w:rPr>
        <w:t>Art. 9º</w:t>
      </w:r>
      <w:r w:rsidRPr="00FA1A68">
        <w:rPr>
          <w:rFonts w:ascii="Arial" w:hAnsi="Arial" w:cs="Arial"/>
          <w:bCs/>
          <w:color w:val="365F91"/>
          <w:sz w:val="25"/>
          <w:szCs w:val="25"/>
        </w:rPr>
        <w:t xml:space="preserve">. </w:t>
      </w:r>
      <w:r w:rsidRPr="00FA1A68">
        <w:rPr>
          <w:rFonts w:ascii="Arial" w:hAnsi="Arial" w:cs="Arial"/>
          <w:bCs/>
          <w:color w:val="000000"/>
          <w:sz w:val="25"/>
          <w:szCs w:val="25"/>
        </w:rPr>
        <w:t>Compete ao Município, no âmbito do Sistema Único de Saúde (SUS).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I</w:t>
      </w:r>
      <w:r w:rsidRPr="00FA1A68">
        <w:rPr>
          <w:rFonts w:ascii="Arial" w:hAnsi="Arial" w:cs="Arial"/>
          <w:sz w:val="25"/>
          <w:szCs w:val="25"/>
        </w:rPr>
        <w:t xml:space="preserve"> - Realizar o monitoramento contínuo dos indicadores de qualidade e desempenho das equipes;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II</w:t>
      </w:r>
      <w:r w:rsidRPr="00FA1A68">
        <w:rPr>
          <w:rFonts w:ascii="Arial" w:hAnsi="Arial" w:cs="Arial"/>
          <w:sz w:val="25"/>
          <w:szCs w:val="25"/>
        </w:rPr>
        <w:t xml:space="preserve"> - Assegurar a divulgação periódica dos resultados, garantindo transparência e acesso às informações pelos gestores e pela população; 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b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lastRenderedPageBreak/>
        <w:t>III</w:t>
      </w:r>
      <w:r w:rsidRPr="00FA1A68">
        <w:rPr>
          <w:rFonts w:ascii="Arial" w:hAnsi="Arial" w:cs="Arial"/>
          <w:sz w:val="25"/>
          <w:szCs w:val="25"/>
        </w:rPr>
        <w:t xml:space="preserve"> - Garantir a destinação adequada dos recursos para o pagamento do incentivo adicional.</w:t>
      </w: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</w:p>
    <w:p w:rsidR="00FA1A68" w:rsidRPr="00FA1A68" w:rsidRDefault="00FA1A68" w:rsidP="00FA1A68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5"/>
          <w:szCs w:val="25"/>
        </w:rPr>
      </w:pPr>
      <w:r w:rsidRPr="00FA1A68">
        <w:rPr>
          <w:rFonts w:ascii="Arial" w:hAnsi="Arial" w:cs="Arial"/>
          <w:b/>
          <w:sz w:val="25"/>
          <w:szCs w:val="25"/>
        </w:rPr>
        <w:t>Art. 10.</w:t>
      </w:r>
      <w:r w:rsidRPr="00FA1A68">
        <w:rPr>
          <w:rFonts w:ascii="Arial" w:hAnsi="Arial" w:cs="Arial"/>
          <w:sz w:val="25"/>
          <w:szCs w:val="25"/>
        </w:rPr>
        <w:t xml:space="preserve"> Esta Lei entra em vigor na data de sua publicação.</w:t>
      </w:r>
    </w:p>
    <w:p w:rsidR="00F8562F" w:rsidRPr="00FA1A68" w:rsidRDefault="00F8562F" w:rsidP="00FA1A68">
      <w:pPr>
        <w:ind w:firstLine="567"/>
        <w:jc w:val="both"/>
        <w:rPr>
          <w:sz w:val="25"/>
          <w:szCs w:val="25"/>
        </w:rPr>
      </w:pPr>
      <w:bookmarkStart w:id="2" w:name="_Hlk69479298"/>
    </w:p>
    <w:p w:rsidR="00FA1A68" w:rsidRPr="00FA1A68" w:rsidRDefault="00FA1A68" w:rsidP="00732FCA">
      <w:pPr>
        <w:pStyle w:val="Default"/>
        <w:spacing w:line="360" w:lineRule="auto"/>
        <w:jc w:val="right"/>
        <w:rPr>
          <w:color w:val="auto"/>
          <w:sz w:val="25"/>
          <w:szCs w:val="25"/>
        </w:rPr>
      </w:pPr>
    </w:p>
    <w:p w:rsidR="009806DA" w:rsidRPr="00FA1A68" w:rsidRDefault="00003BC2" w:rsidP="00732FCA">
      <w:pPr>
        <w:pStyle w:val="Default"/>
        <w:spacing w:line="360" w:lineRule="auto"/>
        <w:jc w:val="right"/>
        <w:rPr>
          <w:color w:val="auto"/>
          <w:sz w:val="25"/>
          <w:szCs w:val="25"/>
        </w:rPr>
      </w:pPr>
      <w:r w:rsidRPr="00FA1A68">
        <w:rPr>
          <w:color w:val="auto"/>
          <w:sz w:val="25"/>
          <w:szCs w:val="25"/>
        </w:rPr>
        <w:t xml:space="preserve">Itapeva/MG, </w:t>
      </w:r>
      <w:r w:rsidR="002C60F2">
        <w:rPr>
          <w:color w:val="auto"/>
          <w:sz w:val="25"/>
          <w:szCs w:val="25"/>
        </w:rPr>
        <w:t>21</w:t>
      </w:r>
      <w:r w:rsidR="001D7911" w:rsidRPr="00FA1A68">
        <w:rPr>
          <w:color w:val="auto"/>
          <w:sz w:val="25"/>
          <w:szCs w:val="25"/>
        </w:rPr>
        <w:t xml:space="preserve"> de julho de 2025</w:t>
      </w:r>
    </w:p>
    <w:p w:rsidR="00132CF3" w:rsidRDefault="00132CF3" w:rsidP="009806DA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D91A30" w:rsidRPr="00FA1A68" w:rsidRDefault="00D91A30" w:rsidP="009806DA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9806DA" w:rsidRPr="00FA1A68" w:rsidRDefault="009806DA" w:rsidP="009806DA">
      <w:pPr>
        <w:pStyle w:val="Default"/>
        <w:spacing w:line="360" w:lineRule="auto"/>
        <w:jc w:val="center"/>
        <w:rPr>
          <w:b/>
          <w:color w:val="auto"/>
          <w:sz w:val="25"/>
          <w:szCs w:val="25"/>
        </w:rPr>
      </w:pPr>
      <w:r w:rsidRPr="00FA1A68">
        <w:rPr>
          <w:b/>
          <w:color w:val="auto"/>
          <w:sz w:val="25"/>
          <w:szCs w:val="25"/>
        </w:rPr>
        <w:t>DANIEL PEREIRA DO COUTO</w:t>
      </w:r>
    </w:p>
    <w:p w:rsidR="000F20E9" w:rsidRPr="00FA1A68" w:rsidRDefault="009806DA" w:rsidP="004E5AB0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  <w:r w:rsidRPr="00FA1A68">
        <w:rPr>
          <w:color w:val="auto"/>
          <w:sz w:val="25"/>
          <w:szCs w:val="25"/>
        </w:rPr>
        <w:t>Prefeito do Município</w:t>
      </w:r>
      <w:bookmarkEnd w:id="2"/>
    </w:p>
    <w:p w:rsidR="00E576E6" w:rsidRPr="00FA1A68" w:rsidRDefault="00E576E6" w:rsidP="004E5AB0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E576E6" w:rsidRPr="00FA1A68" w:rsidRDefault="00EE6F14" w:rsidP="004E5AB0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  <w:r w:rsidRPr="00FA1A68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142240</wp:posOffset>
                </wp:positionV>
                <wp:extent cx="3762375" cy="1711325"/>
                <wp:effectExtent l="0" t="0" r="9525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71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1D7911"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2C60F2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1D7911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julho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50.7pt;margin-top:11.2pt;width:296.25pt;height:1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1D7911"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2C60F2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1D7911">
                        <w:rPr>
                          <w:color w:val="000000"/>
                          <w:sz w:val="18"/>
                          <w:szCs w:val="18"/>
                        </w:rPr>
                        <w:t xml:space="preserve"> de julho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FA1A68" w:rsidRDefault="000F20E9" w:rsidP="009806DA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0F20E9" w:rsidRPr="00FA1A68" w:rsidRDefault="000F20E9" w:rsidP="009806DA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0F20E9" w:rsidRPr="00FA1A68" w:rsidRDefault="000F20E9" w:rsidP="009806DA">
      <w:pPr>
        <w:pStyle w:val="Default"/>
        <w:spacing w:line="360" w:lineRule="auto"/>
        <w:jc w:val="center"/>
        <w:rPr>
          <w:color w:val="auto"/>
          <w:sz w:val="25"/>
          <w:szCs w:val="25"/>
        </w:rPr>
      </w:pPr>
    </w:p>
    <w:p w:rsidR="00132CF3" w:rsidRPr="00F8562F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132CF3" w:rsidRPr="00F8562F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B59" w:rsidRDefault="00F74B59">
      <w:r>
        <w:separator/>
      </w:r>
    </w:p>
  </w:endnote>
  <w:endnote w:type="continuationSeparator" w:id="0">
    <w:p w:rsidR="00F74B59" w:rsidRDefault="00F74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EE6F14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B59" w:rsidRDefault="00F74B59">
      <w:r>
        <w:separator/>
      </w:r>
    </w:p>
  </w:footnote>
  <w:footnote w:type="continuationSeparator" w:id="0">
    <w:p w:rsidR="00F74B59" w:rsidRDefault="00F74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EE6F14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C60F2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023E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1A30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6F14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4B59"/>
    <w:rsid w:val="00F76470"/>
    <w:rsid w:val="00F76749"/>
    <w:rsid w:val="00F76D7B"/>
    <w:rsid w:val="00F80C9B"/>
    <w:rsid w:val="00F81665"/>
    <w:rsid w:val="00F82707"/>
    <w:rsid w:val="00F8562F"/>
    <w:rsid w:val="00F906AB"/>
    <w:rsid w:val="00F92764"/>
    <w:rsid w:val="00F95F8E"/>
    <w:rsid w:val="00FA105E"/>
    <w:rsid w:val="00FA1A68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31A2D27-56CA-4960-8FD0-59BDE291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10448-BB5E-45DE-B7C2-8D798BB8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1243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7946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2025-07-31T17:19:00Z</dcterms:created>
  <dcterms:modified xsi:type="dcterms:W3CDTF">2025-07-31T17:19:00Z</dcterms:modified>
</cp:coreProperties>
</file>