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632" w:rsidRPr="00365B26" w:rsidRDefault="00A64632" w:rsidP="008351CD">
      <w:pPr>
        <w:rPr>
          <w:rFonts w:ascii="Arial Narrow" w:hAnsi="Arial Narrow"/>
          <w:sz w:val="26"/>
          <w:szCs w:val="26"/>
        </w:rPr>
      </w:pPr>
      <w:bookmarkStart w:id="0" w:name="_GoBack"/>
      <w:bookmarkEnd w:id="0"/>
    </w:p>
    <w:p w:rsidR="00C20759" w:rsidRPr="008D5831" w:rsidRDefault="00C20759" w:rsidP="00D72677">
      <w:pPr>
        <w:jc w:val="center"/>
        <w:rPr>
          <w:b/>
          <w:sz w:val="28"/>
          <w:szCs w:val="28"/>
        </w:rPr>
      </w:pPr>
      <w:r w:rsidRPr="008D5831">
        <w:rPr>
          <w:b/>
          <w:sz w:val="28"/>
          <w:szCs w:val="28"/>
        </w:rPr>
        <w:t xml:space="preserve">LEI ORDINÁRIA </w:t>
      </w:r>
      <w:r w:rsidR="003E23EC" w:rsidRPr="008D5831">
        <w:rPr>
          <w:b/>
          <w:sz w:val="28"/>
          <w:szCs w:val="28"/>
        </w:rPr>
        <w:t>172</w:t>
      </w:r>
      <w:r w:rsidR="00D1206F" w:rsidRPr="008D5831">
        <w:rPr>
          <w:b/>
          <w:sz w:val="28"/>
          <w:szCs w:val="28"/>
        </w:rPr>
        <w:t>5</w:t>
      </w:r>
      <w:r w:rsidR="003E23EC" w:rsidRPr="008D5831">
        <w:rPr>
          <w:b/>
          <w:sz w:val="28"/>
          <w:szCs w:val="28"/>
        </w:rPr>
        <w:t xml:space="preserve"> DE</w:t>
      </w:r>
      <w:r w:rsidR="00D72677" w:rsidRPr="008D5831">
        <w:rPr>
          <w:b/>
          <w:sz w:val="28"/>
          <w:szCs w:val="28"/>
        </w:rPr>
        <w:t xml:space="preserve"> </w:t>
      </w:r>
      <w:r w:rsidR="003B3BBB">
        <w:rPr>
          <w:b/>
          <w:sz w:val="28"/>
          <w:szCs w:val="28"/>
        </w:rPr>
        <w:t>05 DE JANEIRO DE 2026</w:t>
      </w:r>
    </w:p>
    <w:p w:rsidR="003E23EC" w:rsidRPr="00D72677" w:rsidRDefault="003E23EC" w:rsidP="00D72677">
      <w:pPr>
        <w:jc w:val="center"/>
        <w:rPr>
          <w:rFonts w:ascii="Times New Roman" w:hAnsi="Times New Roman" w:cs="Times New Roman"/>
          <w:b/>
          <w:sz w:val="28"/>
          <w:szCs w:val="28"/>
        </w:rPr>
      </w:pPr>
    </w:p>
    <w:p w:rsidR="00D1206F" w:rsidRPr="00D1206F" w:rsidRDefault="00D1206F" w:rsidP="00D1206F">
      <w:pPr>
        <w:jc w:val="center"/>
        <w:rPr>
          <w:rFonts w:cs="Calibri"/>
          <w:b/>
          <w:sz w:val="24"/>
          <w:szCs w:val="24"/>
        </w:rPr>
      </w:pPr>
    </w:p>
    <w:p w:rsidR="00D1206F" w:rsidRPr="008D5831" w:rsidRDefault="00D1206F" w:rsidP="00B54508">
      <w:pPr>
        <w:tabs>
          <w:tab w:val="left" w:pos="1276"/>
        </w:tabs>
        <w:autoSpaceDE w:val="0"/>
        <w:autoSpaceDN w:val="0"/>
        <w:adjustRightInd w:val="0"/>
        <w:ind w:left="3261"/>
        <w:jc w:val="both"/>
        <w:rPr>
          <w:b/>
          <w:i/>
          <w:sz w:val="24"/>
          <w:szCs w:val="24"/>
        </w:rPr>
      </w:pPr>
      <w:r w:rsidRPr="008D5831">
        <w:rPr>
          <w:b/>
          <w:i/>
          <w:sz w:val="24"/>
          <w:szCs w:val="24"/>
        </w:rPr>
        <w:t>CRIA O PROGRAMA REGULARIZE SUA OBRA E DÁ OUTRAS PROVIDÊNCIAS.</w:t>
      </w:r>
    </w:p>
    <w:p w:rsidR="008D5831" w:rsidRPr="008D5831" w:rsidRDefault="008D5831" w:rsidP="00B54508">
      <w:pPr>
        <w:tabs>
          <w:tab w:val="left" w:pos="1276"/>
        </w:tabs>
        <w:autoSpaceDE w:val="0"/>
        <w:autoSpaceDN w:val="0"/>
        <w:adjustRightInd w:val="0"/>
        <w:ind w:left="3261"/>
        <w:jc w:val="both"/>
        <w:rPr>
          <w:b/>
          <w:bCs/>
          <w:i/>
          <w:color w:val="000000"/>
          <w:sz w:val="24"/>
          <w:szCs w:val="24"/>
        </w:rPr>
      </w:pPr>
    </w:p>
    <w:p w:rsidR="00D1206F" w:rsidRPr="008D5831" w:rsidRDefault="00D1206F" w:rsidP="00D1206F">
      <w:pPr>
        <w:autoSpaceDE w:val="0"/>
        <w:autoSpaceDN w:val="0"/>
        <w:adjustRightInd w:val="0"/>
        <w:ind w:left="1134"/>
        <w:jc w:val="both"/>
        <w:rPr>
          <w:b/>
          <w:bCs/>
          <w:i/>
          <w:color w:val="000000"/>
          <w:sz w:val="24"/>
          <w:szCs w:val="24"/>
        </w:rPr>
      </w:pP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r w:rsidRPr="008D5831">
        <w:rPr>
          <w:sz w:val="24"/>
          <w:szCs w:val="24"/>
        </w:rPr>
        <w:t>O Prefeito do Município de Itapeva/MG, DANIEL PEREIRA DO COUTO, no uso de suas atribuições legais, faz saber que a Câmara Municipal de Itapeva/MG aprovou e ele sanciona seguinte Lei:</w:t>
      </w: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r w:rsidRPr="008D5831">
        <w:rPr>
          <w:b/>
          <w:sz w:val="24"/>
          <w:szCs w:val="24"/>
        </w:rPr>
        <w:t>Art. 1º</w:t>
      </w:r>
      <w:r w:rsidRPr="008D5831">
        <w:rPr>
          <w:sz w:val="24"/>
          <w:szCs w:val="24"/>
        </w:rPr>
        <w:t>. Cria o Programa Municipal Denominado “Regularize sua Obra”, destinado a sanear irregularidades construtivas decorrentes de obras acabadas ou em andamento, cumulativamente em condições baixas de impacto na sociedade, tendo em consideração o estado irregular apurado até a publicação desta lei.</w:t>
      </w: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r w:rsidRPr="008D5831">
        <w:rPr>
          <w:b/>
          <w:sz w:val="24"/>
          <w:szCs w:val="24"/>
        </w:rPr>
        <w:t>Parágrafo Único</w:t>
      </w:r>
      <w:r w:rsidRPr="008D5831">
        <w:rPr>
          <w:sz w:val="24"/>
          <w:szCs w:val="24"/>
        </w:rPr>
        <w:t xml:space="preserve"> – Não poderão aderir ao programa, obras que venham a iniciar ou alterar seu projeto em data posterior à do vigor da presente Lei.</w:t>
      </w: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r w:rsidRPr="008D5831">
        <w:rPr>
          <w:b/>
          <w:sz w:val="24"/>
          <w:szCs w:val="24"/>
        </w:rPr>
        <w:t>Art. 2º.</w:t>
      </w:r>
      <w:r w:rsidRPr="008D5831">
        <w:rPr>
          <w:sz w:val="24"/>
          <w:szCs w:val="24"/>
        </w:rPr>
        <w:t xml:space="preserve"> Para efeito de regularização os interessados deverão apresentar requerimento e documentação complementar para instruir procedimento administrativo já iniciado, contendo exigências mínimas apresentadas pela Secretaria de Obras que determinou condições de adequação nos termos do artigo anterior e da legislação vigente.</w:t>
      </w: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r w:rsidRPr="008D5831">
        <w:rPr>
          <w:b/>
          <w:sz w:val="24"/>
          <w:szCs w:val="24"/>
        </w:rPr>
        <w:t>Art. 3º</w:t>
      </w:r>
      <w:r w:rsidRPr="008D5831">
        <w:rPr>
          <w:sz w:val="24"/>
          <w:szCs w:val="24"/>
        </w:rPr>
        <w:t>. Poderão ser regularizadas as construções mediante pagamento de outorga onerosa de ocupação do solo, apurada da seguinte maneira, cumulativamente:</w:t>
      </w:r>
    </w:p>
    <w:p w:rsidR="00D1206F" w:rsidRPr="008D5831" w:rsidRDefault="00D1206F" w:rsidP="00D1206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4"/>
          <w:szCs w:val="24"/>
        </w:rPr>
      </w:pPr>
      <w:r w:rsidRPr="008D5831">
        <w:rPr>
          <w:sz w:val="24"/>
          <w:szCs w:val="24"/>
        </w:rPr>
        <w:t xml:space="preserve"> </w:t>
      </w:r>
    </w:p>
    <w:p w:rsidR="00D1206F" w:rsidRPr="008D5831" w:rsidRDefault="00D1206F" w:rsidP="00D1206F">
      <w:pPr>
        <w:jc w:val="center"/>
        <w:rPr>
          <w:b/>
          <w:bCs/>
          <w:sz w:val="24"/>
          <w:szCs w:val="24"/>
        </w:rPr>
      </w:pPr>
    </w:p>
    <w:p w:rsidR="00D1206F" w:rsidRPr="008D5831" w:rsidRDefault="00D1206F" w:rsidP="00D1206F">
      <w:pPr>
        <w:jc w:val="center"/>
        <w:rPr>
          <w:sz w:val="24"/>
          <w:szCs w:val="24"/>
        </w:rPr>
      </w:pPr>
      <w:r w:rsidRPr="008D5831">
        <w:rPr>
          <w:b/>
          <w:bCs/>
          <w:sz w:val="24"/>
          <w:szCs w:val="24"/>
        </w:rPr>
        <w:t>TABELA DE MULTAS E TIPOS DE IRREGULARIDADES</w:t>
      </w:r>
    </w:p>
    <w:tbl>
      <w:tblPr>
        <w:tblpPr w:leftFromText="141" w:rightFromText="141" w:vertAnchor="text" w:tblpX="15" w:tblpY="1"/>
        <w:tblOverlap w:val="never"/>
        <w:tblW w:w="0" w:type="auto"/>
        <w:tblLayout w:type="fixed"/>
        <w:tblCellMar>
          <w:top w:w="15" w:type="dxa"/>
          <w:left w:w="15" w:type="dxa"/>
          <w:bottom w:w="15" w:type="dxa"/>
          <w:right w:w="15" w:type="dxa"/>
        </w:tblCellMar>
        <w:tblLook w:val="0000" w:firstRow="0" w:lastRow="0" w:firstColumn="0" w:lastColumn="0" w:noHBand="0" w:noVBand="0"/>
      </w:tblPr>
      <w:tblGrid>
        <w:gridCol w:w="15"/>
        <w:gridCol w:w="1843"/>
        <w:gridCol w:w="4961"/>
        <w:gridCol w:w="2268"/>
      </w:tblGrid>
      <w:tr w:rsidR="00D1206F" w:rsidRPr="008D5831" w:rsidTr="00126A1E">
        <w:trPr>
          <w:tblHeader/>
        </w:trPr>
        <w:tc>
          <w:tcPr>
            <w:tcW w:w="1858" w:type="dxa"/>
            <w:gridSpan w:val="2"/>
            <w:vAlign w:val="center"/>
          </w:tcPr>
          <w:p w:rsidR="00D1206F" w:rsidRPr="008D5831" w:rsidRDefault="00D1206F" w:rsidP="00126A1E">
            <w:pPr>
              <w:widowControl w:val="0"/>
              <w:jc w:val="center"/>
              <w:rPr>
                <w:sz w:val="24"/>
                <w:szCs w:val="24"/>
              </w:rPr>
            </w:pPr>
            <w:r w:rsidRPr="008D5831">
              <w:rPr>
                <w:b/>
                <w:bCs/>
                <w:sz w:val="24"/>
                <w:szCs w:val="24"/>
              </w:rPr>
              <w:t>Tipo de Irregularidade</w:t>
            </w:r>
          </w:p>
        </w:tc>
        <w:tc>
          <w:tcPr>
            <w:tcW w:w="4961" w:type="dxa"/>
            <w:vAlign w:val="center"/>
          </w:tcPr>
          <w:p w:rsidR="00D1206F" w:rsidRPr="008D5831" w:rsidRDefault="00D1206F" w:rsidP="00126A1E">
            <w:pPr>
              <w:widowControl w:val="0"/>
              <w:jc w:val="center"/>
              <w:rPr>
                <w:sz w:val="24"/>
                <w:szCs w:val="24"/>
              </w:rPr>
            </w:pPr>
            <w:r w:rsidRPr="008D5831">
              <w:rPr>
                <w:b/>
                <w:bCs/>
                <w:sz w:val="24"/>
                <w:szCs w:val="24"/>
              </w:rPr>
              <w:t>Descrição</w:t>
            </w:r>
          </w:p>
        </w:tc>
        <w:tc>
          <w:tcPr>
            <w:tcW w:w="2268" w:type="dxa"/>
            <w:vAlign w:val="center"/>
          </w:tcPr>
          <w:p w:rsidR="00D1206F" w:rsidRPr="008D5831" w:rsidRDefault="00D1206F" w:rsidP="00126A1E">
            <w:pPr>
              <w:widowControl w:val="0"/>
              <w:jc w:val="center"/>
              <w:rPr>
                <w:sz w:val="24"/>
                <w:szCs w:val="24"/>
              </w:rPr>
            </w:pPr>
            <w:r w:rsidRPr="008D5831">
              <w:rPr>
                <w:b/>
                <w:bCs/>
                <w:sz w:val="24"/>
                <w:szCs w:val="24"/>
              </w:rPr>
              <w:t>Valor da Multa (em UFM*)</w:t>
            </w:r>
          </w:p>
        </w:tc>
      </w:tr>
      <w:tr w:rsidR="00D1206F" w:rsidRPr="008D5831" w:rsidTr="00126A1E">
        <w:tc>
          <w:tcPr>
            <w:tcW w:w="1858" w:type="dxa"/>
            <w:gridSpan w:val="2"/>
            <w:vAlign w:val="center"/>
          </w:tcPr>
          <w:p w:rsidR="00D1206F" w:rsidRPr="008D5831" w:rsidRDefault="00D1206F" w:rsidP="00126A1E">
            <w:pPr>
              <w:widowControl w:val="0"/>
              <w:jc w:val="both"/>
              <w:rPr>
                <w:sz w:val="24"/>
                <w:szCs w:val="24"/>
              </w:rPr>
            </w:pPr>
            <w:r w:rsidRPr="008D5831">
              <w:rPr>
                <w:b/>
                <w:bCs/>
                <w:sz w:val="24"/>
                <w:szCs w:val="24"/>
              </w:rPr>
              <w:t>Ambientes sem aberturas</w:t>
            </w:r>
          </w:p>
          <w:p w:rsidR="00D1206F" w:rsidRPr="008D5831" w:rsidRDefault="00D1206F" w:rsidP="00126A1E">
            <w:pPr>
              <w:widowControl w:val="0"/>
              <w:jc w:val="both"/>
              <w:rPr>
                <w:sz w:val="24"/>
                <w:szCs w:val="24"/>
              </w:rPr>
            </w:pPr>
          </w:p>
        </w:tc>
        <w:tc>
          <w:tcPr>
            <w:tcW w:w="4961" w:type="dxa"/>
            <w:vAlign w:val="center"/>
          </w:tcPr>
          <w:p w:rsidR="00D1206F" w:rsidRPr="008D5831" w:rsidRDefault="00D1206F" w:rsidP="00126A1E">
            <w:pPr>
              <w:widowControl w:val="0"/>
              <w:jc w:val="both"/>
              <w:rPr>
                <w:sz w:val="24"/>
                <w:szCs w:val="24"/>
              </w:rPr>
            </w:pPr>
            <w:r w:rsidRPr="008D5831">
              <w:rPr>
                <w:sz w:val="24"/>
                <w:szCs w:val="24"/>
              </w:rPr>
              <w:t>Áreas sem iluminação e ventilação em ambientes de longo prazo</w:t>
            </w:r>
          </w:p>
        </w:tc>
        <w:tc>
          <w:tcPr>
            <w:tcW w:w="2268" w:type="dxa"/>
            <w:vAlign w:val="center"/>
          </w:tcPr>
          <w:p w:rsidR="00D1206F" w:rsidRPr="008D5831" w:rsidRDefault="00D1206F" w:rsidP="00126A1E">
            <w:pPr>
              <w:widowControl w:val="0"/>
              <w:jc w:val="both"/>
              <w:rPr>
                <w:sz w:val="24"/>
                <w:szCs w:val="24"/>
              </w:rPr>
            </w:pPr>
            <w:r w:rsidRPr="008D5831">
              <w:rPr>
                <w:sz w:val="24"/>
                <w:szCs w:val="24"/>
              </w:rPr>
              <w:t>40 UFM por metro quadrado de ambiente</w:t>
            </w:r>
          </w:p>
        </w:tc>
      </w:tr>
      <w:tr w:rsidR="00D1206F" w:rsidRPr="008D5831" w:rsidTr="00126A1E">
        <w:tc>
          <w:tcPr>
            <w:tcW w:w="1858" w:type="dxa"/>
            <w:gridSpan w:val="2"/>
            <w:vAlign w:val="center"/>
          </w:tcPr>
          <w:p w:rsidR="00D1206F" w:rsidRPr="008D5831" w:rsidRDefault="00D1206F" w:rsidP="00126A1E">
            <w:pPr>
              <w:widowControl w:val="0"/>
              <w:jc w:val="both"/>
              <w:rPr>
                <w:sz w:val="24"/>
                <w:szCs w:val="24"/>
              </w:rPr>
            </w:pPr>
            <w:r w:rsidRPr="008D5831">
              <w:rPr>
                <w:b/>
                <w:bCs/>
                <w:sz w:val="24"/>
                <w:szCs w:val="24"/>
              </w:rPr>
              <w:t>Desrespeito ao Recuo Obrigatório</w:t>
            </w:r>
          </w:p>
        </w:tc>
        <w:tc>
          <w:tcPr>
            <w:tcW w:w="4961" w:type="dxa"/>
            <w:vAlign w:val="center"/>
          </w:tcPr>
          <w:p w:rsidR="00D1206F" w:rsidRPr="008D5831" w:rsidRDefault="00D1206F" w:rsidP="00126A1E">
            <w:pPr>
              <w:widowControl w:val="0"/>
              <w:jc w:val="both"/>
              <w:rPr>
                <w:sz w:val="24"/>
                <w:szCs w:val="24"/>
              </w:rPr>
            </w:pPr>
            <w:r w:rsidRPr="008D5831">
              <w:rPr>
                <w:sz w:val="24"/>
                <w:szCs w:val="24"/>
              </w:rPr>
              <w:t>Construção avançada sobre recuos frontal</w:t>
            </w:r>
          </w:p>
        </w:tc>
        <w:tc>
          <w:tcPr>
            <w:tcW w:w="2268" w:type="dxa"/>
            <w:vAlign w:val="center"/>
          </w:tcPr>
          <w:p w:rsidR="00D1206F" w:rsidRPr="008D5831" w:rsidRDefault="00D1206F" w:rsidP="00126A1E">
            <w:pPr>
              <w:widowControl w:val="0"/>
              <w:jc w:val="both"/>
              <w:rPr>
                <w:sz w:val="24"/>
                <w:szCs w:val="24"/>
              </w:rPr>
            </w:pPr>
            <w:r w:rsidRPr="008D5831">
              <w:rPr>
                <w:sz w:val="24"/>
                <w:szCs w:val="24"/>
              </w:rPr>
              <w:t>15 UFM por metro quadrado de área irregular</w:t>
            </w:r>
          </w:p>
        </w:tc>
      </w:tr>
      <w:tr w:rsidR="00D1206F" w:rsidRPr="008D5831" w:rsidTr="00126A1E">
        <w:tc>
          <w:tcPr>
            <w:tcW w:w="1858" w:type="dxa"/>
            <w:gridSpan w:val="2"/>
            <w:vAlign w:val="center"/>
          </w:tcPr>
          <w:p w:rsidR="00D1206F" w:rsidRPr="008D5831" w:rsidRDefault="00D1206F" w:rsidP="00126A1E">
            <w:pPr>
              <w:widowControl w:val="0"/>
              <w:jc w:val="both"/>
              <w:rPr>
                <w:sz w:val="24"/>
                <w:szCs w:val="24"/>
              </w:rPr>
            </w:pPr>
            <w:r w:rsidRPr="008D5831">
              <w:rPr>
                <w:b/>
                <w:bCs/>
                <w:sz w:val="24"/>
                <w:szCs w:val="24"/>
              </w:rPr>
              <w:t>Altura Superior à Permitida</w:t>
            </w:r>
          </w:p>
        </w:tc>
        <w:tc>
          <w:tcPr>
            <w:tcW w:w="4961" w:type="dxa"/>
            <w:vAlign w:val="center"/>
          </w:tcPr>
          <w:p w:rsidR="00D1206F" w:rsidRPr="008D5831" w:rsidRDefault="00D1206F" w:rsidP="00126A1E">
            <w:pPr>
              <w:widowControl w:val="0"/>
              <w:jc w:val="both"/>
              <w:rPr>
                <w:sz w:val="24"/>
                <w:szCs w:val="24"/>
              </w:rPr>
            </w:pPr>
            <w:r w:rsidRPr="008D5831">
              <w:rPr>
                <w:sz w:val="24"/>
                <w:szCs w:val="24"/>
              </w:rPr>
              <w:t>Execução de áreas além da altura permitida sem os devidos recuos laterais e fundos.</w:t>
            </w:r>
          </w:p>
        </w:tc>
        <w:tc>
          <w:tcPr>
            <w:tcW w:w="2268" w:type="dxa"/>
            <w:vAlign w:val="center"/>
          </w:tcPr>
          <w:p w:rsidR="00D1206F" w:rsidRPr="008D5831" w:rsidRDefault="00D1206F" w:rsidP="00126A1E">
            <w:pPr>
              <w:widowControl w:val="0"/>
              <w:jc w:val="both"/>
              <w:rPr>
                <w:sz w:val="24"/>
                <w:szCs w:val="24"/>
              </w:rPr>
            </w:pPr>
            <w:r w:rsidRPr="008D5831">
              <w:rPr>
                <w:sz w:val="24"/>
                <w:szCs w:val="24"/>
              </w:rPr>
              <w:t>25 UFM por metro quadrado de área de pavimento excedente</w:t>
            </w:r>
          </w:p>
        </w:tc>
      </w:tr>
      <w:tr w:rsidR="00D1206F" w:rsidRPr="008D5831" w:rsidTr="00126A1E">
        <w:tc>
          <w:tcPr>
            <w:tcW w:w="1858" w:type="dxa"/>
            <w:gridSpan w:val="2"/>
            <w:vAlign w:val="center"/>
          </w:tcPr>
          <w:p w:rsidR="00D1206F" w:rsidRPr="008D5831" w:rsidRDefault="00D1206F" w:rsidP="00126A1E">
            <w:pPr>
              <w:widowControl w:val="0"/>
              <w:jc w:val="both"/>
              <w:rPr>
                <w:sz w:val="24"/>
                <w:szCs w:val="24"/>
              </w:rPr>
            </w:pPr>
            <w:r w:rsidRPr="008D5831">
              <w:rPr>
                <w:b/>
                <w:bCs/>
                <w:sz w:val="24"/>
                <w:szCs w:val="24"/>
              </w:rPr>
              <w:t>Ausência de elevadores</w:t>
            </w:r>
          </w:p>
        </w:tc>
        <w:tc>
          <w:tcPr>
            <w:tcW w:w="4961" w:type="dxa"/>
            <w:vAlign w:val="center"/>
          </w:tcPr>
          <w:p w:rsidR="00D1206F" w:rsidRPr="008D5831" w:rsidRDefault="00D1206F" w:rsidP="00126A1E">
            <w:pPr>
              <w:widowControl w:val="0"/>
              <w:jc w:val="both"/>
              <w:rPr>
                <w:sz w:val="24"/>
                <w:szCs w:val="24"/>
              </w:rPr>
            </w:pPr>
            <w:r w:rsidRPr="008D5831">
              <w:rPr>
                <w:sz w:val="24"/>
                <w:szCs w:val="24"/>
              </w:rPr>
              <w:t>Prédios acima de 4 pavimentos sem elevador</w:t>
            </w:r>
          </w:p>
        </w:tc>
        <w:tc>
          <w:tcPr>
            <w:tcW w:w="2268" w:type="dxa"/>
            <w:vAlign w:val="center"/>
          </w:tcPr>
          <w:p w:rsidR="00D1206F" w:rsidRPr="008D5831" w:rsidRDefault="00D1206F" w:rsidP="00126A1E">
            <w:pPr>
              <w:widowControl w:val="0"/>
              <w:jc w:val="both"/>
              <w:rPr>
                <w:sz w:val="24"/>
                <w:szCs w:val="24"/>
              </w:rPr>
            </w:pPr>
            <w:r w:rsidRPr="008D5831">
              <w:rPr>
                <w:sz w:val="24"/>
                <w:szCs w:val="24"/>
              </w:rPr>
              <w:t>1.000 UFM por pavimento excedente</w:t>
            </w:r>
          </w:p>
        </w:tc>
      </w:tr>
      <w:tr w:rsidR="00D1206F" w:rsidRPr="008D5831" w:rsidTr="00126A1E">
        <w:tc>
          <w:tcPr>
            <w:tcW w:w="1858" w:type="dxa"/>
            <w:gridSpan w:val="2"/>
            <w:vAlign w:val="center"/>
          </w:tcPr>
          <w:p w:rsidR="00D1206F" w:rsidRPr="008D5831" w:rsidRDefault="00D1206F" w:rsidP="00126A1E">
            <w:pPr>
              <w:widowControl w:val="0"/>
              <w:jc w:val="both"/>
              <w:rPr>
                <w:sz w:val="24"/>
                <w:szCs w:val="24"/>
              </w:rPr>
            </w:pPr>
            <w:r w:rsidRPr="008D5831">
              <w:rPr>
                <w:b/>
                <w:bCs/>
                <w:sz w:val="24"/>
                <w:szCs w:val="24"/>
              </w:rPr>
              <w:t xml:space="preserve">Ausência de </w:t>
            </w:r>
            <w:r w:rsidRPr="008D5831">
              <w:rPr>
                <w:b/>
                <w:bCs/>
                <w:sz w:val="24"/>
                <w:szCs w:val="24"/>
              </w:rPr>
              <w:lastRenderedPageBreak/>
              <w:t>vagas de garagem</w:t>
            </w:r>
          </w:p>
        </w:tc>
        <w:tc>
          <w:tcPr>
            <w:tcW w:w="4961" w:type="dxa"/>
            <w:vAlign w:val="center"/>
          </w:tcPr>
          <w:p w:rsidR="00D1206F" w:rsidRPr="008D5831" w:rsidRDefault="00D1206F" w:rsidP="00126A1E">
            <w:pPr>
              <w:widowControl w:val="0"/>
              <w:jc w:val="both"/>
              <w:rPr>
                <w:sz w:val="24"/>
                <w:szCs w:val="24"/>
              </w:rPr>
            </w:pPr>
            <w:r w:rsidRPr="008D5831">
              <w:rPr>
                <w:sz w:val="24"/>
                <w:szCs w:val="24"/>
              </w:rPr>
              <w:lastRenderedPageBreak/>
              <w:t xml:space="preserve">Construção com número de vagas de </w:t>
            </w:r>
            <w:r w:rsidRPr="008D5831">
              <w:rPr>
                <w:sz w:val="24"/>
                <w:szCs w:val="24"/>
              </w:rPr>
              <w:lastRenderedPageBreak/>
              <w:t xml:space="preserve">garagem abaixo do permitido </w:t>
            </w:r>
          </w:p>
        </w:tc>
        <w:tc>
          <w:tcPr>
            <w:tcW w:w="2268" w:type="dxa"/>
            <w:vAlign w:val="center"/>
          </w:tcPr>
          <w:p w:rsidR="00D1206F" w:rsidRPr="008D5831" w:rsidRDefault="00D1206F" w:rsidP="00126A1E">
            <w:pPr>
              <w:widowControl w:val="0"/>
              <w:jc w:val="both"/>
              <w:rPr>
                <w:sz w:val="24"/>
                <w:szCs w:val="24"/>
              </w:rPr>
            </w:pPr>
            <w:r w:rsidRPr="008D5831">
              <w:rPr>
                <w:sz w:val="24"/>
                <w:szCs w:val="24"/>
              </w:rPr>
              <w:lastRenderedPageBreak/>
              <w:t xml:space="preserve">300 UFM por vaga </w:t>
            </w:r>
            <w:r w:rsidRPr="008D5831">
              <w:rPr>
                <w:sz w:val="24"/>
                <w:szCs w:val="24"/>
              </w:rPr>
              <w:lastRenderedPageBreak/>
              <w:t xml:space="preserve">de garagem </w:t>
            </w:r>
          </w:p>
        </w:tc>
      </w:tr>
      <w:tr w:rsidR="00D1206F" w:rsidRPr="008D5831" w:rsidTr="00126A1E">
        <w:tc>
          <w:tcPr>
            <w:tcW w:w="1858" w:type="dxa"/>
            <w:gridSpan w:val="2"/>
            <w:vAlign w:val="center"/>
          </w:tcPr>
          <w:p w:rsidR="00D1206F" w:rsidRPr="008D5831" w:rsidRDefault="00D1206F" w:rsidP="00126A1E">
            <w:pPr>
              <w:widowControl w:val="0"/>
              <w:jc w:val="both"/>
              <w:rPr>
                <w:sz w:val="24"/>
                <w:szCs w:val="24"/>
              </w:rPr>
            </w:pPr>
            <w:r w:rsidRPr="008D5831">
              <w:rPr>
                <w:b/>
                <w:bCs/>
                <w:sz w:val="24"/>
                <w:szCs w:val="24"/>
              </w:rPr>
              <w:lastRenderedPageBreak/>
              <w:t>Áreas para iluminação e ventilação menores que 3,00m²</w:t>
            </w:r>
          </w:p>
        </w:tc>
        <w:tc>
          <w:tcPr>
            <w:tcW w:w="4961" w:type="dxa"/>
            <w:vAlign w:val="center"/>
          </w:tcPr>
          <w:p w:rsidR="00D1206F" w:rsidRPr="008D5831" w:rsidRDefault="00D1206F" w:rsidP="00126A1E">
            <w:pPr>
              <w:widowControl w:val="0"/>
              <w:jc w:val="both"/>
              <w:rPr>
                <w:sz w:val="24"/>
                <w:szCs w:val="24"/>
              </w:rPr>
            </w:pPr>
            <w:r w:rsidRPr="008D5831">
              <w:rPr>
                <w:sz w:val="24"/>
                <w:szCs w:val="24"/>
              </w:rPr>
              <w:t xml:space="preserve">Áreas para iluminação e ventilação abaixo do permitido </w:t>
            </w:r>
          </w:p>
        </w:tc>
        <w:tc>
          <w:tcPr>
            <w:tcW w:w="2268" w:type="dxa"/>
            <w:vAlign w:val="center"/>
          </w:tcPr>
          <w:p w:rsidR="00D1206F" w:rsidRPr="008D5831" w:rsidRDefault="00D1206F" w:rsidP="00126A1E">
            <w:pPr>
              <w:widowControl w:val="0"/>
              <w:jc w:val="both"/>
              <w:rPr>
                <w:sz w:val="24"/>
                <w:szCs w:val="24"/>
              </w:rPr>
            </w:pPr>
            <w:r w:rsidRPr="008D5831">
              <w:rPr>
                <w:sz w:val="24"/>
                <w:szCs w:val="24"/>
              </w:rPr>
              <w:t>160 UFM por unidade de área de circulação</w:t>
            </w:r>
          </w:p>
        </w:tc>
      </w:tr>
      <w:tr w:rsidR="00D1206F" w:rsidRPr="008D5831" w:rsidTr="00126A1E">
        <w:tc>
          <w:tcPr>
            <w:tcW w:w="1858" w:type="dxa"/>
            <w:gridSpan w:val="2"/>
            <w:vAlign w:val="center"/>
          </w:tcPr>
          <w:p w:rsidR="00D1206F" w:rsidRPr="008D5831" w:rsidRDefault="00D1206F" w:rsidP="00126A1E">
            <w:pPr>
              <w:widowControl w:val="0"/>
              <w:jc w:val="both"/>
              <w:rPr>
                <w:sz w:val="24"/>
                <w:szCs w:val="24"/>
              </w:rPr>
            </w:pPr>
            <w:r w:rsidRPr="008D5831">
              <w:rPr>
                <w:b/>
                <w:bCs/>
                <w:sz w:val="24"/>
                <w:szCs w:val="24"/>
              </w:rPr>
              <w:t>Escada fora de norma</w:t>
            </w:r>
          </w:p>
        </w:tc>
        <w:tc>
          <w:tcPr>
            <w:tcW w:w="4961" w:type="dxa"/>
            <w:vAlign w:val="center"/>
          </w:tcPr>
          <w:p w:rsidR="00D1206F" w:rsidRPr="008D5831" w:rsidRDefault="00D1206F" w:rsidP="00126A1E">
            <w:pPr>
              <w:widowControl w:val="0"/>
              <w:jc w:val="both"/>
              <w:rPr>
                <w:sz w:val="24"/>
                <w:szCs w:val="24"/>
              </w:rPr>
            </w:pPr>
            <w:r w:rsidRPr="008D5831">
              <w:rPr>
                <w:sz w:val="24"/>
                <w:szCs w:val="24"/>
              </w:rPr>
              <w:t>Altura do espelho maior que o máximo, largura da pisada menor que o mínimo e largura da escada menor que o mínimo permitido.</w:t>
            </w:r>
          </w:p>
        </w:tc>
        <w:tc>
          <w:tcPr>
            <w:tcW w:w="2268" w:type="dxa"/>
            <w:vAlign w:val="center"/>
          </w:tcPr>
          <w:p w:rsidR="00D1206F" w:rsidRPr="008D5831" w:rsidRDefault="00D1206F" w:rsidP="00126A1E">
            <w:pPr>
              <w:widowControl w:val="0"/>
              <w:jc w:val="both"/>
              <w:rPr>
                <w:sz w:val="24"/>
                <w:szCs w:val="24"/>
              </w:rPr>
            </w:pPr>
            <w:r w:rsidRPr="008D5831">
              <w:rPr>
                <w:sz w:val="24"/>
                <w:szCs w:val="24"/>
              </w:rPr>
              <w:t>160 UFM por unidade de escada</w:t>
            </w:r>
          </w:p>
        </w:tc>
      </w:tr>
      <w:tr w:rsidR="00D1206F" w:rsidRPr="008D5831" w:rsidTr="00126A1E">
        <w:tc>
          <w:tcPr>
            <w:tcW w:w="1858" w:type="dxa"/>
            <w:gridSpan w:val="2"/>
            <w:vAlign w:val="center"/>
          </w:tcPr>
          <w:p w:rsidR="00D1206F" w:rsidRPr="008D5831" w:rsidRDefault="00D1206F" w:rsidP="00126A1E">
            <w:pPr>
              <w:widowControl w:val="0"/>
              <w:jc w:val="both"/>
              <w:rPr>
                <w:sz w:val="24"/>
                <w:szCs w:val="24"/>
              </w:rPr>
            </w:pPr>
            <w:r w:rsidRPr="008D5831">
              <w:rPr>
                <w:b/>
                <w:bCs/>
                <w:sz w:val="24"/>
                <w:szCs w:val="24"/>
              </w:rPr>
              <w:t>Corredor fora de norma</w:t>
            </w:r>
          </w:p>
        </w:tc>
        <w:tc>
          <w:tcPr>
            <w:tcW w:w="4961" w:type="dxa"/>
            <w:vAlign w:val="center"/>
          </w:tcPr>
          <w:p w:rsidR="00D1206F" w:rsidRPr="008D5831" w:rsidRDefault="00D1206F" w:rsidP="00126A1E">
            <w:pPr>
              <w:widowControl w:val="0"/>
              <w:jc w:val="both"/>
              <w:rPr>
                <w:sz w:val="24"/>
                <w:szCs w:val="24"/>
              </w:rPr>
            </w:pPr>
            <w:r w:rsidRPr="008D5831">
              <w:rPr>
                <w:sz w:val="24"/>
                <w:szCs w:val="24"/>
              </w:rPr>
              <w:t>Largura de corredor coletivo menor que mínimo permitido.</w:t>
            </w:r>
          </w:p>
        </w:tc>
        <w:tc>
          <w:tcPr>
            <w:tcW w:w="2268" w:type="dxa"/>
            <w:vAlign w:val="center"/>
          </w:tcPr>
          <w:p w:rsidR="00D1206F" w:rsidRPr="008D5831" w:rsidRDefault="00D1206F" w:rsidP="00126A1E">
            <w:pPr>
              <w:widowControl w:val="0"/>
              <w:jc w:val="both"/>
              <w:rPr>
                <w:sz w:val="24"/>
                <w:szCs w:val="24"/>
              </w:rPr>
            </w:pPr>
            <w:r w:rsidRPr="008D5831">
              <w:rPr>
                <w:sz w:val="24"/>
                <w:szCs w:val="24"/>
              </w:rPr>
              <w:t>160 UFM por unidade de corredor</w:t>
            </w:r>
          </w:p>
        </w:tc>
      </w:tr>
      <w:tr w:rsidR="00D1206F" w:rsidRPr="008D5831" w:rsidTr="00126A1E">
        <w:trPr>
          <w:gridBefore w:val="1"/>
          <w:wBefore w:w="15" w:type="dxa"/>
        </w:trPr>
        <w:tc>
          <w:tcPr>
            <w:tcW w:w="1843" w:type="dxa"/>
            <w:vAlign w:val="center"/>
          </w:tcPr>
          <w:p w:rsidR="00D1206F" w:rsidRPr="008D5831" w:rsidRDefault="00D1206F" w:rsidP="00126A1E">
            <w:pPr>
              <w:widowControl w:val="0"/>
              <w:jc w:val="both"/>
              <w:rPr>
                <w:sz w:val="24"/>
                <w:szCs w:val="24"/>
              </w:rPr>
            </w:pPr>
            <w:r w:rsidRPr="008D5831">
              <w:rPr>
                <w:b/>
                <w:bCs/>
                <w:sz w:val="24"/>
                <w:szCs w:val="24"/>
              </w:rPr>
              <w:t>Vãos de aberturas insuficientes para garantir a iluminação e ventilação do ambiente</w:t>
            </w:r>
          </w:p>
        </w:tc>
        <w:tc>
          <w:tcPr>
            <w:tcW w:w="4961" w:type="dxa"/>
            <w:vAlign w:val="center"/>
          </w:tcPr>
          <w:p w:rsidR="00D1206F" w:rsidRPr="008D5831" w:rsidRDefault="00D1206F" w:rsidP="00126A1E">
            <w:pPr>
              <w:widowControl w:val="0"/>
              <w:jc w:val="both"/>
              <w:rPr>
                <w:sz w:val="24"/>
                <w:szCs w:val="24"/>
              </w:rPr>
            </w:pPr>
            <w:r w:rsidRPr="008D5831">
              <w:rPr>
                <w:sz w:val="24"/>
                <w:szCs w:val="24"/>
              </w:rPr>
              <w:t>Vãos de janelas e portas com larguras menores do que é exigido em relação a área do piso do compartimento.</w:t>
            </w:r>
          </w:p>
        </w:tc>
        <w:tc>
          <w:tcPr>
            <w:tcW w:w="2268" w:type="dxa"/>
            <w:vAlign w:val="center"/>
          </w:tcPr>
          <w:p w:rsidR="00D1206F" w:rsidRPr="008D5831" w:rsidRDefault="00D1206F" w:rsidP="00126A1E">
            <w:pPr>
              <w:widowControl w:val="0"/>
              <w:jc w:val="both"/>
              <w:rPr>
                <w:sz w:val="24"/>
                <w:szCs w:val="24"/>
              </w:rPr>
            </w:pPr>
            <w:r w:rsidRPr="008D5831">
              <w:rPr>
                <w:sz w:val="24"/>
                <w:szCs w:val="24"/>
              </w:rPr>
              <w:t xml:space="preserve">50 UFM por metro quadrado de área de abertura insuficiente. </w:t>
            </w:r>
          </w:p>
        </w:tc>
      </w:tr>
    </w:tbl>
    <w:p w:rsidR="00D1206F" w:rsidRPr="008D5831" w:rsidRDefault="00D1206F" w:rsidP="00D1206F">
      <w:pPr>
        <w:rPr>
          <w:sz w:val="24"/>
          <w:szCs w:val="24"/>
        </w:rPr>
      </w:pPr>
      <w:r w:rsidRPr="008D5831">
        <w:rPr>
          <w:sz w:val="24"/>
          <w:szCs w:val="24"/>
        </w:rPr>
        <w:t>*UFM = Unidade Fiscal do Município (valor atualizado anualmente).</w:t>
      </w:r>
    </w:p>
    <w:p w:rsidR="00D1206F" w:rsidRPr="008D5831" w:rsidRDefault="00D1206F" w:rsidP="00D1206F">
      <w:pPr>
        <w:rPr>
          <w:sz w:val="24"/>
          <w:szCs w:val="24"/>
        </w:rPr>
      </w:pP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r w:rsidRPr="008D5831">
        <w:rPr>
          <w:b/>
          <w:sz w:val="24"/>
          <w:szCs w:val="24"/>
        </w:rPr>
        <w:t>§1º</w:t>
      </w:r>
      <w:r w:rsidRPr="008D5831">
        <w:rPr>
          <w:sz w:val="24"/>
          <w:szCs w:val="24"/>
        </w:rPr>
        <w:t xml:space="preserve"> - Não poderão ser regularizadas sacadas, janelas e demais aberturas que distanciem menos de 1,5 metros (um metro e meio linear) da divisa, sem que os respectivos vizinhos autorizem.</w:t>
      </w: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r w:rsidRPr="008D5831">
        <w:rPr>
          <w:b/>
          <w:sz w:val="24"/>
          <w:szCs w:val="24"/>
        </w:rPr>
        <w:t>2º</w:t>
      </w:r>
      <w:r w:rsidRPr="008D5831">
        <w:rPr>
          <w:sz w:val="24"/>
          <w:szCs w:val="24"/>
        </w:rPr>
        <w:t xml:space="preserve"> – Eventuais sacadas, avanços ou situações análogas direcionadas para a área pública que não puderem ser inseridas nos excessos previstos neste artigo, ou ainda, não forem recomendadas tecnicamente que sejam por motivos de segurança, mobilidade ou outro interesse público deverão ser demolidas.</w:t>
      </w: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r w:rsidRPr="008D5831">
        <w:rPr>
          <w:b/>
          <w:sz w:val="24"/>
          <w:szCs w:val="24"/>
        </w:rPr>
        <w:t>Art. 4º.</w:t>
      </w:r>
      <w:r w:rsidRPr="008D5831">
        <w:rPr>
          <w:sz w:val="24"/>
          <w:szCs w:val="24"/>
        </w:rPr>
        <w:t xml:space="preserve"> Construções que tiveram sua situação de regularidade questionada em processo judicial, mesmo com decisão transitada em julgado poderão ser alvo de adequação pelo Poder Executivo nos termos desta lei.</w:t>
      </w: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r w:rsidRPr="008D5831">
        <w:rPr>
          <w:b/>
          <w:sz w:val="24"/>
          <w:szCs w:val="24"/>
        </w:rPr>
        <w:t>Parágrafo Único</w:t>
      </w:r>
      <w:r w:rsidRPr="008D5831">
        <w:rPr>
          <w:sz w:val="24"/>
          <w:szCs w:val="24"/>
        </w:rPr>
        <w:t xml:space="preserve"> - Existindo processo judicial em trâmite, no qual o interessado em aderir ao programa discute a regularidade ou regularização da obra a ser objeto da regularização prevista nesta Lei, terá deferido o pedido formulado, independente de desistir da ação judicial em trâmite.</w:t>
      </w: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r w:rsidRPr="008D5831">
        <w:rPr>
          <w:b/>
          <w:sz w:val="24"/>
          <w:szCs w:val="24"/>
        </w:rPr>
        <w:t>Art. 5º</w:t>
      </w:r>
      <w:r w:rsidRPr="008D5831">
        <w:rPr>
          <w:sz w:val="24"/>
          <w:szCs w:val="24"/>
        </w:rPr>
        <w:t>. A outorga onerosa de que trata o artigo 3º desta lei fica sujeita a um limite assim definido:</w:t>
      </w: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r w:rsidRPr="008D5831">
        <w:rPr>
          <w:b/>
          <w:sz w:val="24"/>
          <w:szCs w:val="24"/>
        </w:rPr>
        <w:t xml:space="preserve">I </w:t>
      </w:r>
      <w:r w:rsidRPr="008D5831">
        <w:rPr>
          <w:sz w:val="24"/>
          <w:szCs w:val="24"/>
        </w:rPr>
        <w:t>– Construções de até 60m² o valor máximo de pagamento será de 350 UFM;</w:t>
      </w: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b/>
          <w:sz w:val="24"/>
          <w:szCs w:val="24"/>
        </w:rPr>
      </w:pP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r w:rsidRPr="008D5831">
        <w:rPr>
          <w:b/>
          <w:sz w:val="24"/>
          <w:szCs w:val="24"/>
        </w:rPr>
        <w:t xml:space="preserve">II </w:t>
      </w:r>
      <w:r w:rsidRPr="008D5831">
        <w:rPr>
          <w:sz w:val="24"/>
          <w:szCs w:val="24"/>
        </w:rPr>
        <w:t>- Construções acima de 60m² até 150m² o valor máximo de pagamento será de 700 UFM;</w:t>
      </w: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b/>
          <w:sz w:val="24"/>
          <w:szCs w:val="24"/>
        </w:rPr>
      </w:pP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r w:rsidRPr="008D5831">
        <w:rPr>
          <w:b/>
          <w:sz w:val="24"/>
          <w:szCs w:val="24"/>
        </w:rPr>
        <w:t xml:space="preserve">III </w:t>
      </w:r>
      <w:r w:rsidRPr="008D5831">
        <w:rPr>
          <w:sz w:val="24"/>
          <w:szCs w:val="24"/>
        </w:rPr>
        <w:t>- construções acima de 150m² o valor máximo de pagamento será de 7.000 UFM.</w:t>
      </w: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r w:rsidRPr="008D5831">
        <w:rPr>
          <w:b/>
          <w:sz w:val="24"/>
          <w:szCs w:val="24"/>
        </w:rPr>
        <w:t>Art. 6º.</w:t>
      </w:r>
      <w:r w:rsidRPr="008D5831">
        <w:rPr>
          <w:sz w:val="24"/>
          <w:szCs w:val="24"/>
        </w:rPr>
        <w:t xml:space="preserve"> Os valores decorrentes da aplicação desta lei poderão ser parcelados em até 04 (quatro) parcelas, porém, terão desconto de 5% (cinco por cento) para pagamento em parcela única.</w:t>
      </w: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b/>
          <w:sz w:val="24"/>
          <w:szCs w:val="24"/>
        </w:rPr>
      </w:pP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r w:rsidRPr="008D5831">
        <w:rPr>
          <w:b/>
          <w:sz w:val="24"/>
          <w:szCs w:val="24"/>
        </w:rPr>
        <w:t>Parágrafo único</w:t>
      </w:r>
      <w:r w:rsidRPr="008D5831">
        <w:rPr>
          <w:sz w:val="24"/>
          <w:szCs w:val="24"/>
        </w:rPr>
        <w:t xml:space="preserve"> – Os recursos auferidos com a adoção da outorga onerosa desta Lei serão aplicados com as finalidades previstas nos incisos I a VIII do art. 26 da Lei Federal n.º  10.257/2021.</w:t>
      </w: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r w:rsidRPr="008D5831">
        <w:rPr>
          <w:b/>
          <w:sz w:val="24"/>
          <w:szCs w:val="24"/>
        </w:rPr>
        <w:t>Art. 7º</w:t>
      </w:r>
      <w:r w:rsidRPr="008D5831">
        <w:rPr>
          <w:sz w:val="24"/>
          <w:szCs w:val="24"/>
        </w:rPr>
        <w:t>. A adesão ao programa poderá ser realizada em até 01 (um) ano da data de vigência da presente lei, sendo vedada a adesão após esse período.</w:t>
      </w: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p>
    <w:p w:rsidR="00D1206F" w:rsidRPr="008D5831" w:rsidRDefault="00D1206F" w:rsidP="00B545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4"/>
          <w:szCs w:val="24"/>
        </w:rPr>
      </w:pPr>
      <w:r w:rsidRPr="008D5831">
        <w:rPr>
          <w:b/>
          <w:sz w:val="24"/>
          <w:szCs w:val="24"/>
        </w:rPr>
        <w:t>Art. 8º.</w:t>
      </w:r>
      <w:r w:rsidRPr="008D5831">
        <w:rPr>
          <w:sz w:val="24"/>
          <w:szCs w:val="24"/>
        </w:rPr>
        <w:t xml:space="preserve"> Esta lei entra em vigor na data de sua publicação.</w:t>
      </w:r>
    </w:p>
    <w:p w:rsidR="00D1206F" w:rsidRPr="008D5831" w:rsidRDefault="00D1206F" w:rsidP="00C207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b/>
          <w:sz w:val="24"/>
          <w:szCs w:val="24"/>
        </w:rPr>
      </w:pPr>
    </w:p>
    <w:p w:rsidR="002C535E" w:rsidRPr="008D5831" w:rsidRDefault="002C535E" w:rsidP="005041F0">
      <w:pPr>
        <w:pStyle w:val="Recuodecorpodetexto3"/>
        <w:spacing w:after="240" w:line="360" w:lineRule="auto"/>
        <w:ind w:left="0" w:firstLine="2835"/>
        <w:jc w:val="both"/>
        <w:rPr>
          <w:sz w:val="24"/>
          <w:szCs w:val="24"/>
        </w:rPr>
      </w:pPr>
    </w:p>
    <w:p w:rsidR="00ED6914" w:rsidRPr="008D5831" w:rsidRDefault="00ED6914" w:rsidP="00ED6914">
      <w:pPr>
        <w:autoSpaceDE w:val="0"/>
        <w:autoSpaceDN w:val="0"/>
        <w:adjustRightInd w:val="0"/>
        <w:jc w:val="right"/>
        <w:rPr>
          <w:sz w:val="24"/>
          <w:szCs w:val="24"/>
        </w:rPr>
      </w:pPr>
      <w:r w:rsidRPr="008D5831">
        <w:rPr>
          <w:sz w:val="24"/>
          <w:szCs w:val="24"/>
        </w:rPr>
        <w:t xml:space="preserve">Itapeva/MG., </w:t>
      </w:r>
      <w:r w:rsidR="003B3BBB">
        <w:rPr>
          <w:sz w:val="24"/>
          <w:szCs w:val="24"/>
        </w:rPr>
        <w:t>05 de janeiro de 2026</w:t>
      </w:r>
    </w:p>
    <w:p w:rsidR="00365B26" w:rsidRPr="008D5831" w:rsidRDefault="00365B26" w:rsidP="00ED6914">
      <w:pPr>
        <w:autoSpaceDE w:val="0"/>
        <w:autoSpaceDN w:val="0"/>
        <w:adjustRightInd w:val="0"/>
        <w:jc w:val="right"/>
        <w:rPr>
          <w:sz w:val="24"/>
          <w:szCs w:val="24"/>
        </w:rPr>
      </w:pPr>
    </w:p>
    <w:p w:rsidR="00ED6914" w:rsidRPr="008D5831" w:rsidRDefault="00ED6914" w:rsidP="00ED6914">
      <w:pPr>
        <w:jc w:val="center"/>
        <w:rPr>
          <w:b/>
          <w:sz w:val="24"/>
          <w:szCs w:val="24"/>
        </w:rPr>
      </w:pPr>
    </w:p>
    <w:p w:rsidR="00ED6914" w:rsidRPr="008D5831" w:rsidRDefault="00ED6914" w:rsidP="00ED6914">
      <w:pPr>
        <w:jc w:val="center"/>
        <w:rPr>
          <w:b/>
          <w:sz w:val="24"/>
          <w:szCs w:val="24"/>
        </w:rPr>
      </w:pPr>
    </w:p>
    <w:p w:rsidR="008A355A" w:rsidRPr="008D5831" w:rsidRDefault="008A355A" w:rsidP="00ED6914">
      <w:pPr>
        <w:jc w:val="center"/>
        <w:rPr>
          <w:b/>
          <w:sz w:val="24"/>
          <w:szCs w:val="24"/>
        </w:rPr>
      </w:pPr>
    </w:p>
    <w:p w:rsidR="00ED6914" w:rsidRPr="008D5831" w:rsidRDefault="00ED6914" w:rsidP="00ED6914">
      <w:pPr>
        <w:jc w:val="center"/>
        <w:rPr>
          <w:b/>
          <w:i/>
          <w:sz w:val="24"/>
          <w:szCs w:val="24"/>
        </w:rPr>
      </w:pPr>
      <w:r w:rsidRPr="008D5831">
        <w:rPr>
          <w:b/>
          <w:i/>
          <w:sz w:val="24"/>
          <w:szCs w:val="24"/>
        </w:rPr>
        <w:t>Daniel Pereira do Couto</w:t>
      </w:r>
    </w:p>
    <w:p w:rsidR="00ED6914" w:rsidRPr="008D5831" w:rsidRDefault="00713295" w:rsidP="00ED6914">
      <w:pPr>
        <w:pStyle w:val="Ttulo5"/>
        <w:spacing w:before="0" w:after="0"/>
        <w:jc w:val="center"/>
        <w:rPr>
          <w:sz w:val="24"/>
          <w:szCs w:val="24"/>
        </w:rPr>
      </w:pPr>
      <w:r w:rsidRPr="008D5831">
        <w:rPr>
          <w:noProof/>
          <w:sz w:val="24"/>
          <w:szCs w:val="24"/>
        </w:rPr>
        <mc:AlternateContent>
          <mc:Choice Requires="wps">
            <w:drawing>
              <wp:anchor distT="0" distB="0" distL="114300" distR="114300" simplePos="0" relativeHeight="251657728" behindDoc="0" locked="0" layoutInCell="1" allowOverlap="1">
                <wp:simplePos x="0" y="0"/>
                <wp:positionH relativeFrom="column">
                  <wp:posOffset>1758315</wp:posOffset>
                </wp:positionH>
                <wp:positionV relativeFrom="paragraph">
                  <wp:posOffset>892810</wp:posOffset>
                </wp:positionV>
                <wp:extent cx="2796540" cy="1666875"/>
                <wp:effectExtent l="9525" t="11430" r="13335"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666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6914" w:rsidRDefault="00ED6914" w:rsidP="00ED6914">
                            <w:pPr>
                              <w:pStyle w:val="Corpodetexto"/>
                              <w:spacing w:after="0"/>
                              <w:jc w:val="center"/>
                              <w:rPr>
                                <w:b/>
                                <w:sz w:val="16"/>
                                <w:szCs w:val="16"/>
                              </w:rPr>
                            </w:pPr>
                            <w:r w:rsidRPr="00887A00">
                              <w:rPr>
                                <w:b/>
                                <w:sz w:val="16"/>
                                <w:szCs w:val="16"/>
                              </w:rPr>
                              <w:t>CERTIDÃO</w:t>
                            </w:r>
                          </w:p>
                          <w:p w:rsidR="00963CA8" w:rsidRPr="00887A00" w:rsidRDefault="00963CA8" w:rsidP="00ED6914">
                            <w:pPr>
                              <w:pStyle w:val="Corpodetexto"/>
                              <w:spacing w:after="0"/>
                              <w:jc w:val="center"/>
                              <w:rPr>
                                <w:b/>
                                <w:sz w:val="16"/>
                                <w:szCs w:val="16"/>
                              </w:rPr>
                            </w:pPr>
                          </w:p>
                          <w:p w:rsidR="00ED6914" w:rsidRDefault="00ED6914" w:rsidP="00ED6914">
                            <w:pPr>
                              <w:pStyle w:val="Corpodetexto"/>
                              <w:spacing w:after="0"/>
                              <w:jc w:val="both"/>
                              <w:rPr>
                                <w:sz w:val="16"/>
                                <w:szCs w:val="16"/>
                              </w:rPr>
                            </w:pPr>
                            <w:r w:rsidRPr="00DF5FC1">
                              <w:rPr>
                                <w:sz w:val="16"/>
                                <w:szCs w:val="16"/>
                              </w:rPr>
                              <w:t xml:space="preserve">Certifico que o presente ato foi registrado no </w:t>
                            </w:r>
                            <w:r w:rsidRPr="00887A00">
                              <w:rPr>
                                <w:sz w:val="16"/>
                                <w:szCs w:val="16"/>
                              </w:rPr>
                              <w:t>Livro de Registro de Portarias,</w:t>
                            </w:r>
                            <w:r w:rsidRPr="00DF5FC1">
                              <w:rPr>
                                <w:sz w:val="16"/>
                                <w:szCs w:val="16"/>
                              </w:rPr>
                              <w:t xml:space="preserve"> e publicado no Quadro de Av</w:t>
                            </w:r>
                            <w:r>
                              <w:rPr>
                                <w:sz w:val="16"/>
                                <w:szCs w:val="16"/>
                              </w:rPr>
                              <w:t xml:space="preserve">isos e Publicações </w:t>
                            </w:r>
                            <w:r w:rsidRPr="00DF5FC1">
                              <w:rPr>
                                <w:sz w:val="16"/>
                                <w:szCs w:val="16"/>
                              </w:rPr>
                              <w:t>da Prefeitura Municipal.</w:t>
                            </w:r>
                          </w:p>
                          <w:p w:rsidR="00963CA8" w:rsidRDefault="00963CA8" w:rsidP="00ED6914">
                            <w:pPr>
                              <w:pStyle w:val="Corpodetexto"/>
                              <w:spacing w:after="0"/>
                              <w:jc w:val="both"/>
                              <w:rPr>
                                <w:sz w:val="16"/>
                                <w:szCs w:val="16"/>
                              </w:rPr>
                            </w:pPr>
                          </w:p>
                          <w:p w:rsidR="00ED6914" w:rsidRPr="00DF5FC1" w:rsidRDefault="00ED6914" w:rsidP="00ED6914">
                            <w:pPr>
                              <w:pStyle w:val="Corpodetexto"/>
                              <w:spacing w:after="0"/>
                              <w:jc w:val="both"/>
                              <w:rPr>
                                <w:sz w:val="2"/>
                                <w:szCs w:val="16"/>
                              </w:rPr>
                            </w:pPr>
                          </w:p>
                          <w:p w:rsidR="00ED6914" w:rsidRPr="00DF5FC1" w:rsidRDefault="00ED6914" w:rsidP="00ED6914">
                            <w:pPr>
                              <w:pStyle w:val="Corpodetexto"/>
                              <w:spacing w:after="0"/>
                              <w:jc w:val="both"/>
                              <w:rPr>
                                <w:b/>
                                <w:sz w:val="16"/>
                                <w:szCs w:val="16"/>
                              </w:rPr>
                            </w:pPr>
                            <w:r w:rsidRPr="00DF5FC1">
                              <w:rPr>
                                <w:color w:val="000000"/>
                                <w:sz w:val="16"/>
                                <w:szCs w:val="16"/>
                              </w:rPr>
                              <w:t>Pr</w:t>
                            </w:r>
                            <w:r>
                              <w:rPr>
                                <w:color w:val="000000"/>
                                <w:sz w:val="16"/>
                                <w:szCs w:val="16"/>
                              </w:rPr>
                              <w:t>efeitura Municipal</w:t>
                            </w:r>
                            <w:r w:rsidR="00F273E7">
                              <w:rPr>
                                <w:color w:val="000000"/>
                                <w:sz w:val="16"/>
                                <w:szCs w:val="16"/>
                              </w:rPr>
                              <w:t xml:space="preserve"> de Itapeva, </w:t>
                            </w:r>
                            <w:r w:rsidR="003B3BBB">
                              <w:rPr>
                                <w:color w:val="000000"/>
                                <w:sz w:val="16"/>
                                <w:szCs w:val="16"/>
                              </w:rPr>
                              <w:t>05 de janeiro de 2026</w:t>
                            </w:r>
                          </w:p>
                          <w:p w:rsidR="00ED6914" w:rsidRDefault="00ED6914" w:rsidP="00ED6914">
                            <w:pPr>
                              <w:pStyle w:val="Ttulo5"/>
                              <w:spacing w:before="0" w:after="0"/>
                              <w:jc w:val="center"/>
                              <w:rPr>
                                <w:i w:val="0"/>
                                <w:sz w:val="16"/>
                                <w:szCs w:val="16"/>
                              </w:rPr>
                            </w:pPr>
                          </w:p>
                          <w:p w:rsidR="006500EF" w:rsidRDefault="006500EF" w:rsidP="006500EF"/>
                          <w:p w:rsidR="00C20759" w:rsidRPr="006500EF" w:rsidRDefault="00C20759" w:rsidP="006500EF"/>
                          <w:p w:rsidR="00ED6914" w:rsidRPr="006E482A" w:rsidRDefault="00ED6914" w:rsidP="00ED6914">
                            <w:pPr>
                              <w:pStyle w:val="Ttulo5"/>
                              <w:spacing w:before="0" w:after="0"/>
                              <w:jc w:val="center"/>
                            </w:pPr>
                            <w:r>
                              <w:rPr>
                                <w:i w:val="0"/>
                                <w:sz w:val="16"/>
                                <w:szCs w:val="16"/>
                              </w:rPr>
                              <w:t>Alexandre Ribeiro de Patto</w:t>
                            </w:r>
                          </w:p>
                          <w:p w:rsidR="00ED6914" w:rsidRDefault="00ED6914" w:rsidP="00ED6914">
                            <w:pPr>
                              <w:jc w:val="center"/>
                            </w:pPr>
                            <w:r>
                              <w:rPr>
                                <w:sz w:val="16"/>
                                <w:szCs w:val="16"/>
                              </w:rPr>
                              <w:t>Chefe de Gabinete</w:t>
                            </w:r>
                          </w:p>
                        </w:txbxContent>
                      </wps:txbx>
                      <wps:bodyPr rot="0" vert="horz" wrap="square" lIns="25200" tIns="10800" rIns="252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8.45pt;margin-top:70.3pt;width:220.2pt;height:1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" filled="f">
                <v:textbox inset=".7mm,.3mm,.7mm,.3mm">
                  <w:txbxContent>
                    <w:p w:rsidR="00ED6914" w:rsidRDefault="00ED6914" w:rsidP="00ED6914">
                      <w:pPr>
                        <w:pStyle w:val="Corpodetexto"/>
                        <w:spacing w:after="0"/>
                        <w:jc w:val="center"/>
                        <w:rPr>
                          <w:b/>
                          <w:sz w:val="16"/>
                          <w:szCs w:val="16"/>
                        </w:rPr>
                      </w:pPr>
                      <w:r w:rsidRPr="00887A00">
                        <w:rPr>
                          <w:b/>
                          <w:sz w:val="16"/>
                          <w:szCs w:val="16"/>
                        </w:rPr>
                        <w:t>CERTIDÃO</w:t>
                      </w:r>
                    </w:p>
                    <w:p w:rsidR="00963CA8" w:rsidRPr="00887A00" w:rsidRDefault="00963CA8" w:rsidP="00ED6914">
                      <w:pPr>
                        <w:pStyle w:val="Corpodetexto"/>
                        <w:spacing w:after="0"/>
                        <w:jc w:val="center"/>
                        <w:rPr>
                          <w:b/>
                          <w:sz w:val="16"/>
                          <w:szCs w:val="16"/>
                        </w:rPr>
                      </w:pPr>
                    </w:p>
                    <w:p w:rsidR="00ED6914" w:rsidRDefault="00ED6914" w:rsidP="00ED6914">
                      <w:pPr>
                        <w:pStyle w:val="Corpodetexto"/>
                        <w:spacing w:after="0"/>
                        <w:jc w:val="both"/>
                        <w:rPr>
                          <w:sz w:val="16"/>
                          <w:szCs w:val="16"/>
                        </w:rPr>
                      </w:pPr>
                      <w:r w:rsidRPr="00DF5FC1">
                        <w:rPr>
                          <w:sz w:val="16"/>
                          <w:szCs w:val="16"/>
                        </w:rPr>
                        <w:t xml:space="preserve">Certifico que o presente ato foi registrado no </w:t>
                      </w:r>
                      <w:r w:rsidRPr="00887A00">
                        <w:rPr>
                          <w:sz w:val="16"/>
                          <w:szCs w:val="16"/>
                        </w:rPr>
                        <w:t>Livro de Registro de Portarias,</w:t>
                      </w:r>
                      <w:r w:rsidRPr="00DF5FC1">
                        <w:rPr>
                          <w:sz w:val="16"/>
                          <w:szCs w:val="16"/>
                        </w:rPr>
                        <w:t xml:space="preserve"> e publicado no Quadro de Av</w:t>
                      </w:r>
                      <w:r>
                        <w:rPr>
                          <w:sz w:val="16"/>
                          <w:szCs w:val="16"/>
                        </w:rPr>
                        <w:t xml:space="preserve">isos e Publicações </w:t>
                      </w:r>
                      <w:r w:rsidRPr="00DF5FC1">
                        <w:rPr>
                          <w:sz w:val="16"/>
                          <w:szCs w:val="16"/>
                        </w:rPr>
                        <w:t>da Prefeitura Municipal.</w:t>
                      </w:r>
                    </w:p>
                    <w:p w:rsidR="00963CA8" w:rsidRDefault="00963CA8" w:rsidP="00ED6914">
                      <w:pPr>
                        <w:pStyle w:val="Corpodetexto"/>
                        <w:spacing w:after="0"/>
                        <w:jc w:val="both"/>
                        <w:rPr>
                          <w:sz w:val="16"/>
                          <w:szCs w:val="16"/>
                        </w:rPr>
                      </w:pPr>
                    </w:p>
                    <w:p w:rsidR="00ED6914" w:rsidRPr="00DF5FC1" w:rsidRDefault="00ED6914" w:rsidP="00ED6914">
                      <w:pPr>
                        <w:pStyle w:val="Corpodetexto"/>
                        <w:spacing w:after="0"/>
                        <w:jc w:val="both"/>
                        <w:rPr>
                          <w:sz w:val="2"/>
                          <w:szCs w:val="16"/>
                        </w:rPr>
                      </w:pPr>
                    </w:p>
                    <w:p w:rsidR="00ED6914" w:rsidRPr="00DF5FC1" w:rsidRDefault="00ED6914" w:rsidP="00ED6914">
                      <w:pPr>
                        <w:pStyle w:val="Corpodetexto"/>
                        <w:spacing w:after="0"/>
                        <w:jc w:val="both"/>
                        <w:rPr>
                          <w:b/>
                          <w:sz w:val="16"/>
                          <w:szCs w:val="16"/>
                        </w:rPr>
                      </w:pPr>
                      <w:r w:rsidRPr="00DF5FC1">
                        <w:rPr>
                          <w:color w:val="000000"/>
                          <w:sz w:val="16"/>
                          <w:szCs w:val="16"/>
                        </w:rPr>
                        <w:t>Pr</w:t>
                      </w:r>
                      <w:r>
                        <w:rPr>
                          <w:color w:val="000000"/>
                          <w:sz w:val="16"/>
                          <w:szCs w:val="16"/>
                        </w:rPr>
                        <w:t>efeitura Municipal</w:t>
                      </w:r>
                      <w:r w:rsidR="00F273E7">
                        <w:rPr>
                          <w:color w:val="000000"/>
                          <w:sz w:val="16"/>
                          <w:szCs w:val="16"/>
                        </w:rPr>
                        <w:t xml:space="preserve"> de Itapeva, </w:t>
                      </w:r>
                      <w:r w:rsidR="003B3BBB">
                        <w:rPr>
                          <w:color w:val="000000"/>
                          <w:sz w:val="16"/>
                          <w:szCs w:val="16"/>
                        </w:rPr>
                        <w:t>05 de janeiro de 2026</w:t>
                      </w:r>
                    </w:p>
                    <w:p w:rsidR="00ED6914" w:rsidRDefault="00ED6914" w:rsidP="00ED6914">
                      <w:pPr>
                        <w:pStyle w:val="Ttulo5"/>
                        <w:spacing w:before="0" w:after="0"/>
                        <w:jc w:val="center"/>
                        <w:rPr>
                          <w:i w:val="0"/>
                          <w:sz w:val="16"/>
                          <w:szCs w:val="16"/>
                        </w:rPr>
                      </w:pPr>
                    </w:p>
                    <w:p w:rsidR="006500EF" w:rsidRDefault="006500EF" w:rsidP="006500EF"/>
                    <w:p w:rsidR="00C20759" w:rsidRPr="006500EF" w:rsidRDefault="00C20759" w:rsidP="006500EF"/>
                    <w:p w:rsidR="00ED6914" w:rsidRPr="006E482A" w:rsidRDefault="00ED6914" w:rsidP="00ED6914">
                      <w:pPr>
                        <w:pStyle w:val="Ttulo5"/>
                        <w:spacing w:before="0" w:after="0"/>
                        <w:jc w:val="center"/>
                      </w:pPr>
                      <w:r>
                        <w:rPr>
                          <w:i w:val="0"/>
                          <w:sz w:val="16"/>
                          <w:szCs w:val="16"/>
                        </w:rPr>
                        <w:t>Alexandre Ribeiro de Patto</w:t>
                      </w:r>
                    </w:p>
                    <w:p w:rsidR="00ED6914" w:rsidRDefault="00ED6914" w:rsidP="00ED6914">
                      <w:pPr>
                        <w:jc w:val="center"/>
                      </w:pPr>
                      <w:r>
                        <w:rPr>
                          <w:sz w:val="16"/>
                          <w:szCs w:val="16"/>
                        </w:rPr>
                        <w:t>Chefe de Gabinete</w:t>
                      </w:r>
                    </w:p>
                  </w:txbxContent>
                </v:textbox>
              </v:shape>
            </w:pict>
          </mc:Fallback>
        </mc:AlternateContent>
      </w:r>
      <w:r w:rsidR="00ED6914" w:rsidRPr="008D5831">
        <w:rPr>
          <w:sz w:val="24"/>
          <w:szCs w:val="24"/>
        </w:rPr>
        <w:t>Prefeito Municipal</w:t>
      </w:r>
    </w:p>
    <w:sectPr w:rsidR="00ED6914" w:rsidRPr="008D5831" w:rsidSect="00A17267">
      <w:headerReference w:type="default" r:id="rId8"/>
      <w:footerReference w:type="default" r:id="rId9"/>
      <w:pgSz w:w="11906" w:h="16838"/>
      <w:pgMar w:top="1417" w:right="1701" w:bottom="1079" w:left="1701" w:header="0"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70B" w:rsidRDefault="008F770B">
      <w:r>
        <w:separator/>
      </w:r>
    </w:p>
  </w:endnote>
  <w:endnote w:type="continuationSeparator" w:id="0">
    <w:p w:rsidR="008F770B" w:rsidRDefault="008F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52A" w:rsidRPr="00E544FC" w:rsidRDefault="00A8452A" w:rsidP="00A8452A">
    <w:pPr>
      <w:pStyle w:val="Rodap"/>
      <w:tabs>
        <w:tab w:val="clear" w:pos="8504"/>
        <w:tab w:val="right" w:pos="-5940"/>
      </w:tabs>
      <w:ind w:right="-676" w:hanging="540"/>
      <w:jc w:val="center"/>
      <w:rPr>
        <w:rFonts w:ascii="Arial Black" w:hAnsi="Arial Black"/>
        <w:color w:val="F4B083"/>
        <w:sz w:val="16"/>
        <w:szCs w:val="16"/>
      </w:rPr>
    </w:pPr>
    <w:r w:rsidRPr="00E544FC">
      <w:rPr>
        <w:rFonts w:ascii="Arial Black" w:hAnsi="Arial Black"/>
        <w:color w:val="F4B083"/>
        <w:sz w:val="16"/>
        <w:szCs w:val="16"/>
      </w:rPr>
      <w:t>Rua Ulisses Escobar, 30 – Centro – 37655</w:t>
    </w:r>
    <w:r w:rsidR="00B86CED" w:rsidRPr="00E544FC">
      <w:rPr>
        <w:rFonts w:ascii="Arial Black" w:hAnsi="Arial Black"/>
        <w:color w:val="F4B083"/>
        <w:sz w:val="16"/>
        <w:szCs w:val="16"/>
      </w:rPr>
      <w:t>-</w:t>
    </w:r>
    <w:r w:rsidRPr="00E544FC">
      <w:rPr>
        <w:rFonts w:ascii="Arial Black" w:hAnsi="Arial Black"/>
        <w:color w:val="F4B083"/>
        <w:sz w:val="16"/>
        <w:szCs w:val="16"/>
      </w:rPr>
      <w:t>000 – Itapeva – Minas Gerais – (35) 3434 1354</w:t>
    </w:r>
    <w:r w:rsidR="00E544FC" w:rsidRPr="00E544FC">
      <w:rPr>
        <w:rFonts w:ascii="Arial Black" w:hAnsi="Arial Black"/>
        <w:color w:val="F4B083"/>
        <w:sz w:val="16"/>
        <w:szCs w:val="16"/>
      </w:rPr>
      <w:t xml:space="preserve">    </w:t>
    </w:r>
    <w:r w:rsidR="00713295" w:rsidRPr="00E544FC">
      <w:rPr>
        <w:rFonts w:ascii="Arial Black" w:hAnsi="Arial Black"/>
        <w:noProof/>
        <w:color w:val="F4B083"/>
        <w:sz w:val="16"/>
        <w:szCs w:val="16"/>
      </w:rPr>
      <w:drawing>
        <wp:inline distT="0" distB="0" distL="0" distR="0">
          <wp:extent cx="120015" cy="1200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pic:spPr>
              </pic:pic>
            </a:graphicData>
          </a:graphic>
        </wp:inline>
      </w:drawing>
    </w:r>
    <w:r w:rsidR="00E544FC" w:rsidRPr="00E544FC">
      <w:rPr>
        <w:rFonts w:ascii="Arial Black" w:hAnsi="Arial Black"/>
        <w:color w:val="F4B083"/>
        <w:sz w:val="16"/>
        <w:szCs w:val="16"/>
      </w:rPr>
      <w:t xml:space="preserve"> </w:t>
    </w:r>
    <w:r w:rsidR="00F057EF">
      <w:rPr>
        <w:rFonts w:ascii="Arial Black" w:hAnsi="Arial Black"/>
        <w:color w:val="F4B083"/>
        <w:sz w:val="16"/>
        <w:szCs w:val="16"/>
      </w:rPr>
      <w:t>99846-0282</w:t>
    </w:r>
  </w:p>
  <w:p w:rsidR="00A8452A" w:rsidRPr="00E544FC" w:rsidRDefault="00F057EF" w:rsidP="00A8452A">
    <w:pPr>
      <w:pStyle w:val="Rodap"/>
      <w:tabs>
        <w:tab w:val="clear" w:pos="8504"/>
        <w:tab w:val="right" w:pos="-5940"/>
      </w:tabs>
      <w:ind w:right="-676" w:hanging="540"/>
      <w:jc w:val="center"/>
      <w:rPr>
        <w:rFonts w:ascii="Arial Black" w:hAnsi="Arial Black"/>
        <w:color w:val="003300"/>
        <w:sz w:val="16"/>
        <w:szCs w:val="16"/>
      </w:rPr>
    </w:pPr>
    <w:hyperlink r:id="rId2" w:history="1">
      <w:r w:rsidRPr="00A71780">
        <w:rPr>
          <w:rStyle w:val="Hyperlink"/>
          <w:rFonts w:ascii="Arial Black" w:hAnsi="Arial Black"/>
          <w:sz w:val="16"/>
          <w:szCs w:val="16"/>
        </w:rPr>
        <w:t>chefedegabinete@itapeva.mg.gov.br</w:t>
      </w:r>
    </w:hyperlink>
    <w:r w:rsidR="00A8452A" w:rsidRPr="00E544FC">
      <w:rPr>
        <w:rFonts w:ascii="Arial Black" w:hAnsi="Arial Black"/>
        <w:color w:val="003300"/>
        <w:sz w:val="16"/>
        <w:szCs w:val="16"/>
      </w:rPr>
      <w:t xml:space="preserve"> </w:t>
    </w:r>
  </w:p>
  <w:p w:rsidR="00185D4B" w:rsidRPr="00A8452A" w:rsidRDefault="00185D4B" w:rsidP="00A845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70B" w:rsidRDefault="008F770B">
      <w:r>
        <w:separator/>
      </w:r>
    </w:p>
  </w:footnote>
  <w:footnote w:type="continuationSeparator" w:id="0">
    <w:p w:rsidR="008F770B" w:rsidRDefault="008F7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F74" w:rsidRDefault="00020F74" w:rsidP="00D9570E">
    <w:pPr>
      <w:pStyle w:val="Cabealho"/>
      <w:tabs>
        <w:tab w:val="clear" w:pos="4252"/>
      </w:tabs>
      <w:spacing w:line="360" w:lineRule="auto"/>
      <w:jc w:val="center"/>
    </w:pPr>
  </w:p>
  <w:p w:rsidR="008351CD" w:rsidRPr="00D9570E" w:rsidRDefault="00713295" w:rsidP="00D9570E">
    <w:pPr>
      <w:pStyle w:val="Cabealho"/>
      <w:tabs>
        <w:tab w:val="clear" w:pos="4252"/>
      </w:tabs>
      <w:spacing w:line="360" w:lineRule="auto"/>
      <w:jc w:val="center"/>
      <w:rPr>
        <w:rFonts w:ascii="Calibri" w:hAnsi="Calibri" w:cs="Calibri"/>
      </w:rPr>
    </w:pPr>
    <w:r w:rsidRPr="00F057EF">
      <w:rPr>
        <w:noProof/>
      </w:rPr>
      <w:drawing>
        <wp:inline distT="0" distB="0" distL="0" distR="0">
          <wp:extent cx="2390775" cy="87630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32F44"/>
    <w:multiLevelType w:val="hybridMultilevel"/>
    <w:tmpl w:val="4B067F22"/>
    <w:lvl w:ilvl="0" w:tplc="83C0D7E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41B17509"/>
    <w:multiLevelType w:val="hybridMultilevel"/>
    <w:tmpl w:val="726C2188"/>
    <w:lvl w:ilvl="0" w:tplc="6898259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8646F8D"/>
    <w:multiLevelType w:val="hybridMultilevel"/>
    <w:tmpl w:val="76D8BD6C"/>
    <w:lvl w:ilvl="0" w:tplc="04160019">
      <w:start w:val="1"/>
      <w:numFmt w:val="lowerLetter"/>
      <w:lvlText w:val="%1."/>
      <w:lvlJc w:val="left"/>
      <w:pPr>
        <w:tabs>
          <w:tab w:val="num" w:pos="1776"/>
        </w:tabs>
        <w:ind w:left="1776" w:hanging="360"/>
      </w:p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E5"/>
    <w:rsid w:val="0000393D"/>
    <w:rsid w:val="0001422E"/>
    <w:rsid w:val="00020EC9"/>
    <w:rsid w:val="00020F74"/>
    <w:rsid w:val="00023B96"/>
    <w:rsid w:val="00025BD1"/>
    <w:rsid w:val="000328CD"/>
    <w:rsid w:val="00032BED"/>
    <w:rsid w:val="00034535"/>
    <w:rsid w:val="00041FD1"/>
    <w:rsid w:val="000422FE"/>
    <w:rsid w:val="00044F2C"/>
    <w:rsid w:val="0005795D"/>
    <w:rsid w:val="000579C8"/>
    <w:rsid w:val="000665E4"/>
    <w:rsid w:val="0008512E"/>
    <w:rsid w:val="000945F0"/>
    <w:rsid w:val="00094F3D"/>
    <w:rsid w:val="000A1498"/>
    <w:rsid w:val="000A3D13"/>
    <w:rsid w:val="000A58D8"/>
    <w:rsid w:val="000A643B"/>
    <w:rsid w:val="000B43E9"/>
    <w:rsid w:val="000C28FB"/>
    <w:rsid w:val="000C3546"/>
    <w:rsid w:val="000C3715"/>
    <w:rsid w:val="000C72F5"/>
    <w:rsid w:val="000C7776"/>
    <w:rsid w:val="000D08CB"/>
    <w:rsid w:val="000D358C"/>
    <w:rsid w:val="000D3A9C"/>
    <w:rsid w:val="000D6A2C"/>
    <w:rsid w:val="000E32D0"/>
    <w:rsid w:val="000E7B8D"/>
    <w:rsid w:val="000F01F5"/>
    <w:rsid w:val="000F1FC7"/>
    <w:rsid w:val="000F1FCE"/>
    <w:rsid w:val="000F6BC9"/>
    <w:rsid w:val="00102B43"/>
    <w:rsid w:val="001101F2"/>
    <w:rsid w:val="00110549"/>
    <w:rsid w:val="00110785"/>
    <w:rsid w:val="00115E9E"/>
    <w:rsid w:val="00126A1E"/>
    <w:rsid w:val="00133BAD"/>
    <w:rsid w:val="001607B9"/>
    <w:rsid w:val="001613BA"/>
    <w:rsid w:val="00161704"/>
    <w:rsid w:val="001639B9"/>
    <w:rsid w:val="00163D82"/>
    <w:rsid w:val="001652F5"/>
    <w:rsid w:val="001653A8"/>
    <w:rsid w:val="00167910"/>
    <w:rsid w:val="00173E92"/>
    <w:rsid w:val="00183587"/>
    <w:rsid w:val="001846E7"/>
    <w:rsid w:val="00185D4B"/>
    <w:rsid w:val="00194C35"/>
    <w:rsid w:val="00196F93"/>
    <w:rsid w:val="00197C43"/>
    <w:rsid w:val="001A03FE"/>
    <w:rsid w:val="001A048D"/>
    <w:rsid w:val="001B1759"/>
    <w:rsid w:val="001B347F"/>
    <w:rsid w:val="001B4972"/>
    <w:rsid w:val="001C130C"/>
    <w:rsid w:val="001C727C"/>
    <w:rsid w:val="001D2458"/>
    <w:rsid w:val="001D54EF"/>
    <w:rsid w:val="001D74D3"/>
    <w:rsid w:val="001E580B"/>
    <w:rsid w:val="001F03A1"/>
    <w:rsid w:val="00201A7B"/>
    <w:rsid w:val="0020729A"/>
    <w:rsid w:val="00211EA9"/>
    <w:rsid w:val="002127FA"/>
    <w:rsid w:val="00212ED0"/>
    <w:rsid w:val="002131C4"/>
    <w:rsid w:val="00215D37"/>
    <w:rsid w:val="00215ED4"/>
    <w:rsid w:val="00220C24"/>
    <w:rsid w:val="002227DB"/>
    <w:rsid w:val="00226B6F"/>
    <w:rsid w:val="00226CD0"/>
    <w:rsid w:val="00232B72"/>
    <w:rsid w:val="00236401"/>
    <w:rsid w:val="0024242C"/>
    <w:rsid w:val="0024256F"/>
    <w:rsid w:val="00246F3F"/>
    <w:rsid w:val="00250421"/>
    <w:rsid w:val="00250F4F"/>
    <w:rsid w:val="00251ECE"/>
    <w:rsid w:val="0025220C"/>
    <w:rsid w:val="00252933"/>
    <w:rsid w:val="002617C5"/>
    <w:rsid w:val="00261DF3"/>
    <w:rsid w:val="00262C5C"/>
    <w:rsid w:val="00263DF2"/>
    <w:rsid w:val="0027798D"/>
    <w:rsid w:val="0028034E"/>
    <w:rsid w:val="00280AA6"/>
    <w:rsid w:val="002835EE"/>
    <w:rsid w:val="002848AC"/>
    <w:rsid w:val="00287C4B"/>
    <w:rsid w:val="002900D6"/>
    <w:rsid w:val="00291381"/>
    <w:rsid w:val="00295989"/>
    <w:rsid w:val="00297C4E"/>
    <w:rsid w:val="002A5BB1"/>
    <w:rsid w:val="002A5D8A"/>
    <w:rsid w:val="002B12FB"/>
    <w:rsid w:val="002B40AB"/>
    <w:rsid w:val="002B44B6"/>
    <w:rsid w:val="002B5129"/>
    <w:rsid w:val="002B72BD"/>
    <w:rsid w:val="002C08D7"/>
    <w:rsid w:val="002C535E"/>
    <w:rsid w:val="002D2BEA"/>
    <w:rsid w:val="002D6BAA"/>
    <w:rsid w:val="002E292D"/>
    <w:rsid w:val="002E413A"/>
    <w:rsid w:val="002E659B"/>
    <w:rsid w:val="002F1F42"/>
    <w:rsid w:val="00303427"/>
    <w:rsid w:val="003035CB"/>
    <w:rsid w:val="00303E1F"/>
    <w:rsid w:val="0030609A"/>
    <w:rsid w:val="00306325"/>
    <w:rsid w:val="0031079C"/>
    <w:rsid w:val="003141C7"/>
    <w:rsid w:val="00317AB2"/>
    <w:rsid w:val="0033323B"/>
    <w:rsid w:val="0033798A"/>
    <w:rsid w:val="00337CD7"/>
    <w:rsid w:val="00340767"/>
    <w:rsid w:val="003452F7"/>
    <w:rsid w:val="00350127"/>
    <w:rsid w:val="003517F5"/>
    <w:rsid w:val="003532D4"/>
    <w:rsid w:val="0035649E"/>
    <w:rsid w:val="00364FA0"/>
    <w:rsid w:val="00365B26"/>
    <w:rsid w:val="00366818"/>
    <w:rsid w:val="00367060"/>
    <w:rsid w:val="00372D5C"/>
    <w:rsid w:val="00375AAF"/>
    <w:rsid w:val="0038674E"/>
    <w:rsid w:val="00395A1A"/>
    <w:rsid w:val="00396450"/>
    <w:rsid w:val="0039712B"/>
    <w:rsid w:val="00397F88"/>
    <w:rsid w:val="003A10B9"/>
    <w:rsid w:val="003A4643"/>
    <w:rsid w:val="003B3BBB"/>
    <w:rsid w:val="003B72DA"/>
    <w:rsid w:val="003C458A"/>
    <w:rsid w:val="003C50F0"/>
    <w:rsid w:val="003C6DBC"/>
    <w:rsid w:val="003C7422"/>
    <w:rsid w:val="003D748F"/>
    <w:rsid w:val="003E1BE0"/>
    <w:rsid w:val="003E23EC"/>
    <w:rsid w:val="003E6A06"/>
    <w:rsid w:val="003E6A84"/>
    <w:rsid w:val="003F0EE4"/>
    <w:rsid w:val="003F2BA3"/>
    <w:rsid w:val="00403099"/>
    <w:rsid w:val="004046B3"/>
    <w:rsid w:val="00407FD2"/>
    <w:rsid w:val="0041468B"/>
    <w:rsid w:val="00420592"/>
    <w:rsid w:val="00420C11"/>
    <w:rsid w:val="00433362"/>
    <w:rsid w:val="00436784"/>
    <w:rsid w:val="00443717"/>
    <w:rsid w:val="00445FBE"/>
    <w:rsid w:val="004461C9"/>
    <w:rsid w:val="00453B28"/>
    <w:rsid w:val="00456CE7"/>
    <w:rsid w:val="004571A4"/>
    <w:rsid w:val="004625E0"/>
    <w:rsid w:val="00465D44"/>
    <w:rsid w:val="00465EAC"/>
    <w:rsid w:val="00471BCA"/>
    <w:rsid w:val="0047337E"/>
    <w:rsid w:val="00483F41"/>
    <w:rsid w:val="00484975"/>
    <w:rsid w:val="00486184"/>
    <w:rsid w:val="004907FD"/>
    <w:rsid w:val="004910C2"/>
    <w:rsid w:val="00491B59"/>
    <w:rsid w:val="00493720"/>
    <w:rsid w:val="004A189A"/>
    <w:rsid w:val="004B2DB1"/>
    <w:rsid w:val="004B389F"/>
    <w:rsid w:val="004C0654"/>
    <w:rsid w:val="004C0DAA"/>
    <w:rsid w:val="004C1177"/>
    <w:rsid w:val="004C28C1"/>
    <w:rsid w:val="004C3C62"/>
    <w:rsid w:val="004C78E6"/>
    <w:rsid w:val="004D12B4"/>
    <w:rsid w:val="004D1B66"/>
    <w:rsid w:val="004D4BDD"/>
    <w:rsid w:val="004D58E4"/>
    <w:rsid w:val="004D5DE0"/>
    <w:rsid w:val="004F3789"/>
    <w:rsid w:val="004F3F4B"/>
    <w:rsid w:val="004F7855"/>
    <w:rsid w:val="005036FD"/>
    <w:rsid w:val="005041F0"/>
    <w:rsid w:val="005065B5"/>
    <w:rsid w:val="00507D1F"/>
    <w:rsid w:val="00511AF7"/>
    <w:rsid w:val="00513F7A"/>
    <w:rsid w:val="005164F5"/>
    <w:rsid w:val="005167B3"/>
    <w:rsid w:val="005205D5"/>
    <w:rsid w:val="005251EE"/>
    <w:rsid w:val="005324C6"/>
    <w:rsid w:val="00532807"/>
    <w:rsid w:val="005461A0"/>
    <w:rsid w:val="00550E8D"/>
    <w:rsid w:val="00553CE5"/>
    <w:rsid w:val="005553FB"/>
    <w:rsid w:val="00561C74"/>
    <w:rsid w:val="00575B77"/>
    <w:rsid w:val="00577D7B"/>
    <w:rsid w:val="005913BF"/>
    <w:rsid w:val="005914E2"/>
    <w:rsid w:val="00595485"/>
    <w:rsid w:val="00596847"/>
    <w:rsid w:val="005A6800"/>
    <w:rsid w:val="005B45A1"/>
    <w:rsid w:val="005B7CBC"/>
    <w:rsid w:val="005C09D8"/>
    <w:rsid w:val="005C12D7"/>
    <w:rsid w:val="005C29BE"/>
    <w:rsid w:val="005C29D4"/>
    <w:rsid w:val="005C6411"/>
    <w:rsid w:val="005D0D8B"/>
    <w:rsid w:val="005D5350"/>
    <w:rsid w:val="005E01E9"/>
    <w:rsid w:val="005E2249"/>
    <w:rsid w:val="005E34B7"/>
    <w:rsid w:val="005F30AE"/>
    <w:rsid w:val="005F782B"/>
    <w:rsid w:val="005F783A"/>
    <w:rsid w:val="006110CF"/>
    <w:rsid w:val="00614F13"/>
    <w:rsid w:val="00630732"/>
    <w:rsid w:val="00631061"/>
    <w:rsid w:val="0063242D"/>
    <w:rsid w:val="00632AC4"/>
    <w:rsid w:val="006355F8"/>
    <w:rsid w:val="00636C93"/>
    <w:rsid w:val="00641BCE"/>
    <w:rsid w:val="006500EF"/>
    <w:rsid w:val="00667C4C"/>
    <w:rsid w:val="00672C97"/>
    <w:rsid w:val="00673C6F"/>
    <w:rsid w:val="0067489C"/>
    <w:rsid w:val="0067730B"/>
    <w:rsid w:val="0068035B"/>
    <w:rsid w:val="00681302"/>
    <w:rsid w:val="00681BA7"/>
    <w:rsid w:val="00683474"/>
    <w:rsid w:val="006846C1"/>
    <w:rsid w:val="006852B6"/>
    <w:rsid w:val="00685D7F"/>
    <w:rsid w:val="006870EF"/>
    <w:rsid w:val="006930E0"/>
    <w:rsid w:val="00695270"/>
    <w:rsid w:val="006A0B4E"/>
    <w:rsid w:val="006A27CE"/>
    <w:rsid w:val="006A29CE"/>
    <w:rsid w:val="006A428E"/>
    <w:rsid w:val="006A69D0"/>
    <w:rsid w:val="006B3281"/>
    <w:rsid w:val="006B5CDD"/>
    <w:rsid w:val="006B6874"/>
    <w:rsid w:val="006C2E33"/>
    <w:rsid w:val="006C5575"/>
    <w:rsid w:val="006C65CD"/>
    <w:rsid w:val="006D0089"/>
    <w:rsid w:val="006D35E9"/>
    <w:rsid w:val="006D498D"/>
    <w:rsid w:val="006D5F06"/>
    <w:rsid w:val="006E66B5"/>
    <w:rsid w:val="006E6A39"/>
    <w:rsid w:val="006F00A5"/>
    <w:rsid w:val="006F14CD"/>
    <w:rsid w:val="006F223E"/>
    <w:rsid w:val="006F5252"/>
    <w:rsid w:val="006F52C1"/>
    <w:rsid w:val="00712557"/>
    <w:rsid w:val="00713295"/>
    <w:rsid w:val="0071603A"/>
    <w:rsid w:val="00723758"/>
    <w:rsid w:val="007307FD"/>
    <w:rsid w:val="00732093"/>
    <w:rsid w:val="00732F9E"/>
    <w:rsid w:val="00743E9D"/>
    <w:rsid w:val="00745D13"/>
    <w:rsid w:val="00754BE5"/>
    <w:rsid w:val="007561E0"/>
    <w:rsid w:val="00761CFD"/>
    <w:rsid w:val="0077161B"/>
    <w:rsid w:val="00771ACD"/>
    <w:rsid w:val="0077546E"/>
    <w:rsid w:val="007758B5"/>
    <w:rsid w:val="00776284"/>
    <w:rsid w:val="007771D7"/>
    <w:rsid w:val="00782257"/>
    <w:rsid w:val="00782439"/>
    <w:rsid w:val="00782787"/>
    <w:rsid w:val="007A0DF3"/>
    <w:rsid w:val="007A115D"/>
    <w:rsid w:val="007A11B1"/>
    <w:rsid w:val="007A1A97"/>
    <w:rsid w:val="007A5681"/>
    <w:rsid w:val="007A6EAF"/>
    <w:rsid w:val="007B29C1"/>
    <w:rsid w:val="007C5E6A"/>
    <w:rsid w:val="007D0EC8"/>
    <w:rsid w:val="007D3DE6"/>
    <w:rsid w:val="007E3B22"/>
    <w:rsid w:val="007E3DCD"/>
    <w:rsid w:val="007E536C"/>
    <w:rsid w:val="007E6818"/>
    <w:rsid w:val="007F194F"/>
    <w:rsid w:val="007F2AEC"/>
    <w:rsid w:val="007F2FBA"/>
    <w:rsid w:val="007F3BD7"/>
    <w:rsid w:val="007F75E9"/>
    <w:rsid w:val="00807ABF"/>
    <w:rsid w:val="008141E5"/>
    <w:rsid w:val="00814AA8"/>
    <w:rsid w:val="008200F7"/>
    <w:rsid w:val="008243E5"/>
    <w:rsid w:val="00825B26"/>
    <w:rsid w:val="00826854"/>
    <w:rsid w:val="008278CA"/>
    <w:rsid w:val="008308D6"/>
    <w:rsid w:val="008351CD"/>
    <w:rsid w:val="008418B9"/>
    <w:rsid w:val="0084385E"/>
    <w:rsid w:val="008503A8"/>
    <w:rsid w:val="00850750"/>
    <w:rsid w:val="00863AAD"/>
    <w:rsid w:val="00866649"/>
    <w:rsid w:val="0086755A"/>
    <w:rsid w:val="008724CD"/>
    <w:rsid w:val="0087350B"/>
    <w:rsid w:val="00875A0E"/>
    <w:rsid w:val="008845E2"/>
    <w:rsid w:val="008848AE"/>
    <w:rsid w:val="008870A8"/>
    <w:rsid w:val="00893A9A"/>
    <w:rsid w:val="00897995"/>
    <w:rsid w:val="008A1268"/>
    <w:rsid w:val="008A355A"/>
    <w:rsid w:val="008B1418"/>
    <w:rsid w:val="008B199B"/>
    <w:rsid w:val="008B3376"/>
    <w:rsid w:val="008B6E3B"/>
    <w:rsid w:val="008B7513"/>
    <w:rsid w:val="008C057B"/>
    <w:rsid w:val="008C0BC8"/>
    <w:rsid w:val="008C2D8D"/>
    <w:rsid w:val="008C6644"/>
    <w:rsid w:val="008C7CC5"/>
    <w:rsid w:val="008D051C"/>
    <w:rsid w:val="008D1FEF"/>
    <w:rsid w:val="008D3174"/>
    <w:rsid w:val="008D5831"/>
    <w:rsid w:val="008D7796"/>
    <w:rsid w:val="008E612E"/>
    <w:rsid w:val="008F23B3"/>
    <w:rsid w:val="008F5E38"/>
    <w:rsid w:val="008F770B"/>
    <w:rsid w:val="0090032A"/>
    <w:rsid w:val="0091474D"/>
    <w:rsid w:val="009164C8"/>
    <w:rsid w:val="0091786B"/>
    <w:rsid w:val="00920740"/>
    <w:rsid w:val="009272F3"/>
    <w:rsid w:val="00931434"/>
    <w:rsid w:val="0093407C"/>
    <w:rsid w:val="00943529"/>
    <w:rsid w:val="00947DF5"/>
    <w:rsid w:val="00956924"/>
    <w:rsid w:val="00961A1D"/>
    <w:rsid w:val="00961B6C"/>
    <w:rsid w:val="00963CA8"/>
    <w:rsid w:val="00973CC5"/>
    <w:rsid w:val="00975A44"/>
    <w:rsid w:val="00976478"/>
    <w:rsid w:val="00984327"/>
    <w:rsid w:val="009844DF"/>
    <w:rsid w:val="009849FB"/>
    <w:rsid w:val="00984EF2"/>
    <w:rsid w:val="00985678"/>
    <w:rsid w:val="00986CB8"/>
    <w:rsid w:val="00987CA6"/>
    <w:rsid w:val="0099060C"/>
    <w:rsid w:val="00990BD9"/>
    <w:rsid w:val="009B3260"/>
    <w:rsid w:val="009C0236"/>
    <w:rsid w:val="009C2AB8"/>
    <w:rsid w:val="009C2C53"/>
    <w:rsid w:val="009C3E7C"/>
    <w:rsid w:val="009C47EB"/>
    <w:rsid w:val="009C7337"/>
    <w:rsid w:val="009C78C8"/>
    <w:rsid w:val="009D3F09"/>
    <w:rsid w:val="009D613D"/>
    <w:rsid w:val="009E1559"/>
    <w:rsid w:val="009E16D6"/>
    <w:rsid w:val="009E2E79"/>
    <w:rsid w:val="009F0DC1"/>
    <w:rsid w:val="009F111F"/>
    <w:rsid w:val="009F17F6"/>
    <w:rsid w:val="009F2F82"/>
    <w:rsid w:val="009F4703"/>
    <w:rsid w:val="00A0675D"/>
    <w:rsid w:val="00A06D24"/>
    <w:rsid w:val="00A075E2"/>
    <w:rsid w:val="00A13132"/>
    <w:rsid w:val="00A17267"/>
    <w:rsid w:val="00A22A22"/>
    <w:rsid w:val="00A24CEA"/>
    <w:rsid w:val="00A308EE"/>
    <w:rsid w:val="00A316B9"/>
    <w:rsid w:val="00A32447"/>
    <w:rsid w:val="00A36EA9"/>
    <w:rsid w:val="00A40845"/>
    <w:rsid w:val="00A43A8C"/>
    <w:rsid w:val="00A44790"/>
    <w:rsid w:val="00A457A2"/>
    <w:rsid w:val="00A47BCF"/>
    <w:rsid w:val="00A508D5"/>
    <w:rsid w:val="00A51061"/>
    <w:rsid w:val="00A525C2"/>
    <w:rsid w:val="00A52994"/>
    <w:rsid w:val="00A529EA"/>
    <w:rsid w:val="00A54223"/>
    <w:rsid w:val="00A5483C"/>
    <w:rsid w:val="00A57723"/>
    <w:rsid w:val="00A63F04"/>
    <w:rsid w:val="00A64632"/>
    <w:rsid w:val="00A66288"/>
    <w:rsid w:val="00A66801"/>
    <w:rsid w:val="00A671E8"/>
    <w:rsid w:val="00A772D5"/>
    <w:rsid w:val="00A815AB"/>
    <w:rsid w:val="00A82964"/>
    <w:rsid w:val="00A83444"/>
    <w:rsid w:val="00A8452A"/>
    <w:rsid w:val="00A91F92"/>
    <w:rsid w:val="00A938CC"/>
    <w:rsid w:val="00AA1707"/>
    <w:rsid w:val="00AA2F3A"/>
    <w:rsid w:val="00AA5A4A"/>
    <w:rsid w:val="00AD643E"/>
    <w:rsid w:val="00AD7BBD"/>
    <w:rsid w:val="00AE0B82"/>
    <w:rsid w:val="00AF28FE"/>
    <w:rsid w:val="00B0263C"/>
    <w:rsid w:val="00B032F9"/>
    <w:rsid w:val="00B04377"/>
    <w:rsid w:val="00B04738"/>
    <w:rsid w:val="00B06342"/>
    <w:rsid w:val="00B208BE"/>
    <w:rsid w:val="00B34A34"/>
    <w:rsid w:val="00B35159"/>
    <w:rsid w:val="00B3606A"/>
    <w:rsid w:val="00B36A02"/>
    <w:rsid w:val="00B37F7A"/>
    <w:rsid w:val="00B432F3"/>
    <w:rsid w:val="00B447D8"/>
    <w:rsid w:val="00B448A1"/>
    <w:rsid w:val="00B47532"/>
    <w:rsid w:val="00B51473"/>
    <w:rsid w:val="00B52881"/>
    <w:rsid w:val="00B52F42"/>
    <w:rsid w:val="00B54508"/>
    <w:rsid w:val="00B630E7"/>
    <w:rsid w:val="00B6358F"/>
    <w:rsid w:val="00B661D7"/>
    <w:rsid w:val="00B712FF"/>
    <w:rsid w:val="00B7483D"/>
    <w:rsid w:val="00B7611E"/>
    <w:rsid w:val="00B8029B"/>
    <w:rsid w:val="00B832A8"/>
    <w:rsid w:val="00B86CED"/>
    <w:rsid w:val="00B87366"/>
    <w:rsid w:val="00B910FF"/>
    <w:rsid w:val="00B95718"/>
    <w:rsid w:val="00B97DC7"/>
    <w:rsid w:val="00BA07D4"/>
    <w:rsid w:val="00BA51B3"/>
    <w:rsid w:val="00BA6172"/>
    <w:rsid w:val="00BB3947"/>
    <w:rsid w:val="00BB5A4C"/>
    <w:rsid w:val="00BB6786"/>
    <w:rsid w:val="00BC2FC9"/>
    <w:rsid w:val="00BC35B2"/>
    <w:rsid w:val="00BC4139"/>
    <w:rsid w:val="00BC64B9"/>
    <w:rsid w:val="00BC7A3D"/>
    <w:rsid w:val="00BD1A99"/>
    <w:rsid w:val="00BE1152"/>
    <w:rsid w:val="00BE148B"/>
    <w:rsid w:val="00BE4351"/>
    <w:rsid w:val="00BE46D9"/>
    <w:rsid w:val="00BE4C5D"/>
    <w:rsid w:val="00BE7B11"/>
    <w:rsid w:val="00C0235D"/>
    <w:rsid w:val="00C0580A"/>
    <w:rsid w:val="00C07439"/>
    <w:rsid w:val="00C11B86"/>
    <w:rsid w:val="00C16289"/>
    <w:rsid w:val="00C20759"/>
    <w:rsid w:val="00C2766D"/>
    <w:rsid w:val="00C31C38"/>
    <w:rsid w:val="00C362DA"/>
    <w:rsid w:val="00C44166"/>
    <w:rsid w:val="00C506FA"/>
    <w:rsid w:val="00C57BA4"/>
    <w:rsid w:val="00C63D19"/>
    <w:rsid w:val="00C64358"/>
    <w:rsid w:val="00C71645"/>
    <w:rsid w:val="00C7219F"/>
    <w:rsid w:val="00C77B69"/>
    <w:rsid w:val="00C80B38"/>
    <w:rsid w:val="00C83031"/>
    <w:rsid w:val="00C85965"/>
    <w:rsid w:val="00C86A63"/>
    <w:rsid w:val="00C86ACC"/>
    <w:rsid w:val="00C86E99"/>
    <w:rsid w:val="00C87169"/>
    <w:rsid w:val="00C942CF"/>
    <w:rsid w:val="00C95DB6"/>
    <w:rsid w:val="00C96E76"/>
    <w:rsid w:val="00C97107"/>
    <w:rsid w:val="00CB1A11"/>
    <w:rsid w:val="00CB1D36"/>
    <w:rsid w:val="00CB51E6"/>
    <w:rsid w:val="00CC0C8F"/>
    <w:rsid w:val="00CC2207"/>
    <w:rsid w:val="00CC2AD0"/>
    <w:rsid w:val="00CC32D6"/>
    <w:rsid w:val="00CD4833"/>
    <w:rsid w:val="00CD5F71"/>
    <w:rsid w:val="00CE07A9"/>
    <w:rsid w:val="00CE0BAB"/>
    <w:rsid w:val="00CE5F90"/>
    <w:rsid w:val="00CF1A19"/>
    <w:rsid w:val="00CF1DB5"/>
    <w:rsid w:val="00D044CE"/>
    <w:rsid w:val="00D057BB"/>
    <w:rsid w:val="00D06229"/>
    <w:rsid w:val="00D1206F"/>
    <w:rsid w:val="00D13602"/>
    <w:rsid w:val="00D22E7B"/>
    <w:rsid w:val="00D23E11"/>
    <w:rsid w:val="00D27FD4"/>
    <w:rsid w:val="00D321DE"/>
    <w:rsid w:val="00D3395D"/>
    <w:rsid w:val="00D3745A"/>
    <w:rsid w:val="00D41E05"/>
    <w:rsid w:val="00D42531"/>
    <w:rsid w:val="00D45975"/>
    <w:rsid w:val="00D479B7"/>
    <w:rsid w:val="00D53856"/>
    <w:rsid w:val="00D64A6D"/>
    <w:rsid w:val="00D6563A"/>
    <w:rsid w:val="00D65E17"/>
    <w:rsid w:val="00D6668E"/>
    <w:rsid w:val="00D72677"/>
    <w:rsid w:val="00D86902"/>
    <w:rsid w:val="00D905BA"/>
    <w:rsid w:val="00D91346"/>
    <w:rsid w:val="00D917F6"/>
    <w:rsid w:val="00D92072"/>
    <w:rsid w:val="00D928F5"/>
    <w:rsid w:val="00D9570E"/>
    <w:rsid w:val="00D96B93"/>
    <w:rsid w:val="00DA2C48"/>
    <w:rsid w:val="00DA2F8D"/>
    <w:rsid w:val="00DA3DE5"/>
    <w:rsid w:val="00DA65FB"/>
    <w:rsid w:val="00DA66B1"/>
    <w:rsid w:val="00DB752E"/>
    <w:rsid w:val="00DC2877"/>
    <w:rsid w:val="00DD33D0"/>
    <w:rsid w:val="00DD3ACF"/>
    <w:rsid w:val="00DD4A45"/>
    <w:rsid w:val="00DE00AF"/>
    <w:rsid w:val="00DE0AD4"/>
    <w:rsid w:val="00DE634F"/>
    <w:rsid w:val="00DF0A3E"/>
    <w:rsid w:val="00DF7AE3"/>
    <w:rsid w:val="00E049D5"/>
    <w:rsid w:val="00E06DB2"/>
    <w:rsid w:val="00E13646"/>
    <w:rsid w:val="00E14BD5"/>
    <w:rsid w:val="00E15D4F"/>
    <w:rsid w:val="00E166A9"/>
    <w:rsid w:val="00E214FE"/>
    <w:rsid w:val="00E225A1"/>
    <w:rsid w:val="00E25358"/>
    <w:rsid w:val="00E268B3"/>
    <w:rsid w:val="00E36F8A"/>
    <w:rsid w:val="00E41EC1"/>
    <w:rsid w:val="00E44BBE"/>
    <w:rsid w:val="00E544FC"/>
    <w:rsid w:val="00E57180"/>
    <w:rsid w:val="00E57DA8"/>
    <w:rsid w:val="00E64D2A"/>
    <w:rsid w:val="00E71032"/>
    <w:rsid w:val="00E722B8"/>
    <w:rsid w:val="00E7329E"/>
    <w:rsid w:val="00E804CA"/>
    <w:rsid w:val="00E8181F"/>
    <w:rsid w:val="00E8344A"/>
    <w:rsid w:val="00EA4820"/>
    <w:rsid w:val="00EA569E"/>
    <w:rsid w:val="00EA6717"/>
    <w:rsid w:val="00EA7B5F"/>
    <w:rsid w:val="00EB08F9"/>
    <w:rsid w:val="00EB2A84"/>
    <w:rsid w:val="00EB7B03"/>
    <w:rsid w:val="00ED6914"/>
    <w:rsid w:val="00EE143F"/>
    <w:rsid w:val="00EE4BEC"/>
    <w:rsid w:val="00EF32F7"/>
    <w:rsid w:val="00EF52A3"/>
    <w:rsid w:val="00EF6514"/>
    <w:rsid w:val="00EF7936"/>
    <w:rsid w:val="00F057EF"/>
    <w:rsid w:val="00F10344"/>
    <w:rsid w:val="00F10AE6"/>
    <w:rsid w:val="00F120ED"/>
    <w:rsid w:val="00F20680"/>
    <w:rsid w:val="00F21F50"/>
    <w:rsid w:val="00F250A1"/>
    <w:rsid w:val="00F26FB1"/>
    <w:rsid w:val="00F273E7"/>
    <w:rsid w:val="00F3018D"/>
    <w:rsid w:val="00F33127"/>
    <w:rsid w:val="00F33AF8"/>
    <w:rsid w:val="00F35271"/>
    <w:rsid w:val="00F364B8"/>
    <w:rsid w:val="00F41117"/>
    <w:rsid w:val="00F51583"/>
    <w:rsid w:val="00F53A6B"/>
    <w:rsid w:val="00F604FA"/>
    <w:rsid w:val="00F61C99"/>
    <w:rsid w:val="00F661C5"/>
    <w:rsid w:val="00F700E7"/>
    <w:rsid w:val="00F703FE"/>
    <w:rsid w:val="00F72398"/>
    <w:rsid w:val="00F76470"/>
    <w:rsid w:val="00F76749"/>
    <w:rsid w:val="00F76D7B"/>
    <w:rsid w:val="00F80C9B"/>
    <w:rsid w:val="00F82707"/>
    <w:rsid w:val="00F906AB"/>
    <w:rsid w:val="00F95F8E"/>
    <w:rsid w:val="00FA105E"/>
    <w:rsid w:val="00FA4CD5"/>
    <w:rsid w:val="00FB171E"/>
    <w:rsid w:val="00FC0384"/>
    <w:rsid w:val="00FC14D9"/>
    <w:rsid w:val="00FC52A8"/>
    <w:rsid w:val="00FC7817"/>
    <w:rsid w:val="00FD3EF3"/>
    <w:rsid w:val="00FD4836"/>
    <w:rsid w:val="00FD59A8"/>
    <w:rsid w:val="00FD7404"/>
    <w:rsid w:val="00FE61BB"/>
    <w:rsid w:val="00FE639F"/>
    <w:rsid w:val="00FF423D"/>
    <w:rsid w:val="00FF60B7"/>
    <w:rsid w:val="00FF63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4670130-9FDE-4371-964C-F2B21729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327"/>
    <w:rPr>
      <w:rFonts w:ascii="Arial" w:hAnsi="Arial" w:cs="Arial"/>
      <w:sz w:val="22"/>
      <w:szCs w:val="22"/>
    </w:rPr>
  </w:style>
  <w:style w:type="paragraph" w:styleId="Ttulo1">
    <w:name w:val="heading 1"/>
    <w:basedOn w:val="Normal"/>
    <w:next w:val="Normal"/>
    <w:link w:val="Ttulo1Char"/>
    <w:qFormat/>
    <w:rsid w:val="00984327"/>
    <w:pPr>
      <w:keepNext/>
      <w:outlineLvl w:val="0"/>
    </w:pPr>
    <w:rPr>
      <w:b/>
      <w:sz w:val="24"/>
    </w:rPr>
  </w:style>
  <w:style w:type="paragraph" w:styleId="Ttulo4">
    <w:name w:val="heading 4"/>
    <w:basedOn w:val="Normal"/>
    <w:next w:val="Normal"/>
    <w:link w:val="Ttulo4Char"/>
    <w:semiHidden/>
    <w:unhideWhenUsed/>
    <w:qFormat/>
    <w:rsid w:val="00A64632"/>
    <w:pPr>
      <w:keepNext/>
      <w:spacing w:before="240" w:after="60"/>
      <w:outlineLvl w:val="3"/>
    </w:pPr>
    <w:rPr>
      <w:rFonts w:ascii="Calibri" w:hAnsi="Calibri" w:cs="Times New Roman"/>
      <w:b/>
      <w:bCs/>
      <w:sz w:val="28"/>
      <w:szCs w:val="28"/>
    </w:rPr>
  </w:style>
  <w:style w:type="paragraph" w:styleId="Ttulo5">
    <w:name w:val="heading 5"/>
    <w:basedOn w:val="Normal"/>
    <w:next w:val="Normal"/>
    <w:link w:val="Ttulo5Char"/>
    <w:qFormat/>
    <w:rsid w:val="00984327"/>
    <w:pPr>
      <w:spacing w:before="240" w:after="60"/>
      <w:outlineLvl w:val="4"/>
    </w:pPr>
    <w:rPr>
      <w:b/>
      <w:bCs/>
      <w:i/>
      <w:iCs/>
      <w:sz w:val="26"/>
      <w:szCs w:val="2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rsid w:val="00553CE5"/>
    <w:pPr>
      <w:tabs>
        <w:tab w:val="center" w:pos="4252"/>
        <w:tab w:val="right" w:pos="8504"/>
      </w:tabs>
    </w:pPr>
  </w:style>
  <w:style w:type="paragraph" w:styleId="Rodap">
    <w:name w:val="footer"/>
    <w:basedOn w:val="Normal"/>
    <w:rsid w:val="00553CE5"/>
    <w:pPr>
      <w:tabs>
        <w:tab w:val="center" w:pos="4252"/>
        <w:tab w:val="right" w:pos="8504"/>
      </w:tabs>
    </w:pPr>
  </w:style>
  <w:style w:type="paragraph" w:styleId="Textodebalo">
    <w:name w:val="Balloon Text"/>
    <w:basedOn w:val="Normal"/>
    <w:semiHidden/>
    <w:rsid w:val="00C77B69"/>
    <w:rPr>
      <w:rFonts w:ascii="Tahoma" w:hAnsi="Tahoma" w:cs="Tahoma"/>
      <w:sz w:val="16"/>
      <w:szCs w:val="16"/>
    </w:rPr>
  </w:style>
  <w:style w:type="paragraph" w:styleId="Recuodecorpodetexto">
    <w:name w:val="Body Text Indent"/>
    <w:basedOn w:val="Normal"/>
    <w:link w:val="RecuodecorpodetextoChar"/>
    <w:rsid w:val="00984327"/>
    <w:pPr>
      <w:spacing w:line="340" w:lineRule="atLeast"/>
      <w:ind w:left="3686"/>
      <w:jc w:val="both"/>
    </w:pPr>
    <w:rPr>
      <w:b/>
      <w:sz w:val="24"/>
    </w:rPr>
  </w:style>
  <w:style w:type="paragraph" w:styleId="Recuodecorpodetexto3">
    <w:name w:val="Body Text Indent 3"/>
    <w:basedOn w:val="Normal"/>
    <w:link w:val="Recuodecorpodetexto3Char"/>
    <w:rsid w:val="00984327"/>
    <w:pPr>
      <w:spacing w:after="120"/>
      <w:ind w:left="283"/>
    </w:pPr>
    <w:rPr>
      <w:sz w:val="16"/>
      <w:szCs w:val="16"/>
    </w:rPr>
  </w:style>
  <w:style w:type="paragraph" w:styleId="Recuodecorpodetexto2">
    <w:name w:val="Body Text Indent 2"/>
    <w:basedOn w:val="Normal"/>
    <w:link w:val="Recuodecorpodetexto2Char"/>
    <w:rsid w:val="00984327"/>
    <w:pPr>
      <w:spacing w:after="120" w:line="480" w:lineRule="auto"/>
      <w:ind w:left="283"/>
    </w:pPr>
  </w:style>
  <w:style w:type="paragraph" w:styleId="Corpodetexto">
    <w:name w:val="Body Text"/>
    <w:basedOn w:val="Normal"/>
    <w:link w:val="CorpodetextoChar"/>
    <w:rsid w:val="006F00A5"/>
    <w:pPr>
      <w:spacing w:after="120"/>
    </w:pPr>
  </w:style>
  <w:style w:type="paragraph" w:styleId="Ttulo">
    <w:name w:val="Title"/>
    <w:basedOn w:val="Normal"/>
    <w:link w:val="TtuloChar"/>
    <w:qFormat/>
    <w:rsid w:val="008418B9"/>
    <w:pPr>
      <w:jc w:val="center"/>
    </w:pPr>
    <w:rPr>
      <w:rFonts w:cs="Times New Roman"/>
      <w:b/>
      <w:bCs/>
      <w:sz w:val="24"/>
      <w:szCs w:val="24"/>
    </w:rPr>
  </w:style>
  <w:style w:type="character" w:styleId="Hyperlink">
    <w:name w:val="Hyperlink"/>
    <w:rsid w:val="00A8452A"/>
    <w:rPr>
      <w:color w:val="0000FF"/>
      <w:u w:val="single"/>
    </w:rPr>
  </w:style>
  <w:style w:type="character" w:styleId="nfase">
    <w:name w:val="Emphasis"/>
    <w:qFormat/>
    <w:rsid w:val="00F33127"/>
    <w:rPr>
      <w:b/>
      <w:bCs/>
      <w:i w:val="0"/>
      <w:iCs w:val="0"/>
    </w:rPr>
  </w:style>
  <w:style w:type="character" w:styleId="Forte">
    <w:name w:val="Strong"/>
    <w:uiPriority w:val="22"/>
    <w:qFormat/>
    <w:rsid w:val="00F33127"/>
    <w:rPr>
      <w:b/>
      <w:bCs/>
    </w:rPr>
  </w:style>
  <w:style w:type="character" w:customStyle="1" w:styleId="azul10">
    <w:name w:val="azul10"/>
    <w:basedOn w:val="Fontepargpadro"/>
    <w:rsid w:val="00BB3947"/>
  </w:style>
  <w:style w:type="paragraph" w:styleId="NormalWeb">
    <w:name w:val="Normal (Web)"/>
    <w:basedOn w:val="Normal"/>
    <w:uiPriority w:val="99"/>
    <w:rsid w:val="007E3B22"/>
    <w:pPr>
      <w:spacing w:before="100" w:beforeAutospacing="1" w:after="100" w:afterAutospacing="1"/>
    </w:pPr>
    <w:rPr>
      <w:rFonts w:eastAsia="Arial Unicode MS"/>
      <w:color w:val="000000"/>
      <w:sz w:val="24"/>
      <w:szCs w:val="24"/>
    </w:rPr>
  </w:style>
  <w:style w:type="character" w:customStyle="1" w:styleId="textexposedshow">
    <w:name w:val="text_exposed_show"/>
    <w:basedOn w:val="Fontepargpadro"/>
    <w:rsid w:val="00A22A22"/>
  </w:style>
  <w:style w:type="character" w:customStyle="1" w:styleId="TtuloChar">
    <w:name w:val="Título Char"/>
    <w:link w:val="Ttulo"/>
    <w:rsid w:val="00F120ED"/>
    <w:rPr>
      <w:rFonts w:ascii="Arial" w:hAnsi="Arial"/>
      <w:b/>
      <w:bCs/>
      <w:sz w:val="24"/>
      <w:szCs w:val="24"/>
    </w:rPr>
  </w:style>
  <w:style w:type="paragraph" w:customStyle="1" w:styleId="trebuchet">
    <w:name w:val="trebuchet"/>
    <w:basedOn w:val="Normal"/>
    <w:rsid w:val="008D7796"/>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Fontepargpadro"/>
    <w:rsid w:val="00F604FA"/>
  </w:style>
  <w:style w:type="character" w:customStyle="1" w:styleId="Ttulo1Char">
    <w:name w:val="Título 1 Char"/>
    <w:link w:val="Ttulo1"/>
    <w:rsid w:val="002835EE"/>
    <w:rPr>
      <w:rFonts w:ascii="Arial" w:hAnsi="Arial" w:cs="Arial"/>
      <w:b/>
      <w:sz w:val="24"/>
      <w:szCs w:val="22"/>
    </w:rPr>
  </w:style>
  <w:style w:type="character" w:customStyle="1" w:styleId="RecuodecorpodetextoChar">
    <w:name w:val="Recuo de corpo de texto Char"/>
    <w:link w:val="Recuodecorpodetexto"/>
    <w:rsid w:val="002835EE"/>
    <w:rPr>
      <w:rFonts w:ascii="Arial" w:hAnsi="Arial" w:cs="Arial"/>
      <w:b/>
      <w:sz w:val="24"/>
      <w:szCs w:val="22"/>
    </w:rPr>
  </w:style>
  <w:style w:type="character" w:customStyle="1" w:styleId="Recuodecorpodetexto3Char">
    <w:name w:val="Recuo de corpo de texto 3 Char"/>
    <w:link w:val="Recuodecorpodetexto3"/>
    <w:rsid w:val="002835EE"/>
    <w:rPr>
      <w:rFonts w:ascii="Arial" w:hAnsi="Arial" w:cs="Arial"/>
      <w:sz w:val="16"/>
      <w:szCs w:val="16"/>
    </w:rPr>
  </w:style>
  <w:style w:type="character" w:customStyle="1" w:styleId="Recuodecorpodetexto2Char">
    <w:name w:val="Recuo de corpo de texto 2 Char"/>
    <w:link w:val="Recuodecorpodetexto2"/>
    <w:rsid w:val="002835EE"/>
    <w:rPr>
      <w:rFonts w:ascii="Arial" w:hAnsi="Arial" w:cs="Arial"/>
      <w:sz w:val="22"/>
      <w:szCs w:val="22"/>
    </w:rPr>
  </w:style>
  <w:style w:type="character" w:customStyle="1" w:styleId="CorpodetextoChar">
    <w:name w:val="Corpo de texto Char"/>
    <w:link w:val="Corpodetexto"/>
    <w:rsid w:val="002835EE"/>
    <w:rPr>
      <w:rFonts w:ascii="Arial" w:hAnsi="Arial" w:cs="Arial"/>
      <w:sz w:val="22"/>
      <w:szCs w:val="22"/>
    </w:rPr>
  </w:style>
  <w:style w:type="character" w:styleId="MenoPendente">
    <w:name w:val="Unresolved Mention"/>
    <w:uiPriority w:val="99"/>
    <w:semiHidden/>
    <w:unhideWhenUsed/>
    <w:rsid w:val="00B86CED"/>
    <w:rPr>
      <w:color w:val="605E5C"/>
      <w:shd w:val="clear" w:color="auto" w:fill="E1DFDD"/>
    </w:rPr>
  </w:style>
  <w:style w:type="paragraph" w:styleId="Subttulo">
    <w:name w:val="Subtitle"/>
    <w:basedOn w:val="Normal"/>
    <w:link w:val="SubttuloChar"/>
    <w:qFormat/>
    <w:rsid w:val="00E8181F"/>
    <w:pPr>
      <w:autoSpaceDE w:val="0"/>
      <w:autoSpaceDN w:val="0"/>
    </w:pPr>
    <w:rPr>
      <w:rFonts w:ascii="Times New Roman" w:hAnsi="Times New Roman" w:cs="Times New Roman"/>
      <w:sz w:val="26"/>
      <w:szCs w:val="26"/>
    </w:rPr>
  </w:style>
  <w:style w:type="character" w:customStyle="1" w:styleId="SubttuloChar">
    <w:name w:val="Subtítulo Char"/>
    <w:link w:val="Subttulo"/>
    <w:rsid w:val="00E8181F"/>
    <w:rPr>
      <w:sz w:val="26"/>
      <w:szCs w:val="26"/>
    </w:rPr>
  </w:style>
  <w:style w:type="character" w:customStyle="1" w:styleId="Ttulo4Char">
    <w:name w:val="Título 4 Char"/>
    <w:link w:val="Ttulo4"/>
    <w:semiHidden/>
    <w:rsid w:val="00A64632"/>
    <w:rPr>
      <w:rFonts w:ascii="Calibri" w:eastAsia="Times New Roman" w:hAnsi="Calibri" w:cs="Times New Roman"/>
      <w:b/>
      <w:bCs/>
      <w:sz w:val="28"/>
      <w:szCs w:val="28"/>
    </w:rPr>
  </w:style>
  <w:style w:type="character" w:customStyle="1" w:styleId="Ttulo5Char">
    <w:name w:val="Título 5 Char"/>
    <w:link w:val="Ttulo5"/>
    <w:rsid w:val="00ED6914"/>
    <w:rPr>
      <w:rFonts w:ascii="Arial" w:hAnsi="Arial" w:cs="Arial"/>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018443">
      <w:bodyDiv w:val="1"/>
      <w:marLeft w:val="0"/>
      <w:marRight w:val="0"/>
      <w:marTop w:val="0"/>
      <w:marBottom w:val="0"/>
      <w:divBdr>
        <w:top w:val="none" w:sz="0" w:space="0" w:color="auto"/>
        <w:left w:val="none" w:sz="0" w:space="0" w:color="auto"/>
        <w:bottom w:val="none" w:sz="0" w:space="0" w:color="auto"/>
        <w:right w:val="none" w:sz="0" w:space="0" w:color="auto"/>
      </w:divBdr>
    </w:div>
    <w:div w:id="1814323847">
      <w:bodyDiv w:val="1"/>
      <w:marLeft w:val="0"/>
      <w:marRight w:val="0"/>
      <w:marTop w:val="0"/>
      <w:marBottom w:val="0"/>
      <w:divBdr>
        <w:top w:val="none" w:sz="0" w:space="0" w:color="auto"/>
        <w:left w:val="none" w:sz="0" w:space="0" w:color="auto"/>
        <w:bottom w:val="none" w:sz="0" w:space="0" w:color="auto"/>
        <w:right w:val="none" w:sz="0" w:space="0" w:color="auto"/>
      </w:divBdr>
    </w:div>
    <w:div w:id="207211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hefedegabinete@itapeva.mg.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247FE-A6B7-4FF1-A9D5-4EAC47788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4000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PORTARIA Nº 2 DE 2 DE JANEIRO DE 2009</vt:lpstr>
    </vt:vector>
  </TitlesOfParts>
  <Company/>
  <LinksUpToDate>false</LinksUpToDate>
  <CharactersWithSpaces>4731</CharactersWithSpaces>
  <SharedDoc>false</SharedDoc>
  <HLinks>
    <vt:vector size="6" baseType="variant">
      <vt:variant>
        <vt:i4>1048631</vt:i4>
      </vt:variant>
      <vt:variant>
        <vt:i4>3</vt:i4>
      </vt:variant>
      <vt:variant>
        <vt:i4>0</vt:i4>
      </vt:variant>
      <vt:variant>
        <vt:i4>5</vt:i4>
      </vt:variant>
      <vt:variant>
        <vt:lpwstr>mailto:chefedegabinete@itapeva.mg.gov.br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2 DE 2 DE JANEIRO DE 2009</dc:title>
  <dc:subject/>
  <dc:creator>Cliente</dc:creator>
  <cp:keywords/>
  <cp:lastModifiedBy>User</cp:lastModifiedBy>
  <cp:revision>2</cp:revision>
  <cp:lastPrinted>2026-01-05T12:23:00Z</cp:lastPrinted>
  <dcterms:created xsi:type="dcterms:W3CDTF">2026-01-06T14:54:00Z</dcterms:created>
  <dcterms:modified xsi:type="dcterms:W3CDTF">2026-01-06T14:54:00Z</dcterms:modified>
</cp:coreProperties>
</file>