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0075" w:rsidRDefault="00660075" w:rsidP="00660075">
      <w:pPr>
        <w:spacing w:after="0"/>
        <w:jc w:val="center"/>
        <w:rPr>
          <w:b/>
          <w:sz w:val="24"/>
          <w:szCs w:val="24"/>
        </w:rPr>
      </w:pPr>
    </w:p>
    <w:p w:rsidR="00660075" w:rsidRPr="00660075" w:rsidRDefault="00B02F4B" w:rsidP="00660075">
      <w:pPr>
        <w:spacing w:after="0"/>
        <w:jc w:val="center"/>
        <w:rPr>
          <w:b/>
          <w:sz w:val="24"/>
          <w:szCs w:val="24"/>
        </w:rPr>
      </w:pPr>
      <w:r>
        <w:rPr>
          <w:b/>
          <w:sz w:val="24"/>
          <w:szCs w:val="24"/>
        </w:rPr>
        <w:t xml:space="preserve">EMENDA MODIFICATIVA </w:t>
      </w:r>
      <w:r w:rsidR="00660075" w:rsidRPr="00660075">
        <w:rPr>
          <w:b/>
          <w:sz w:val="24"/>
          <w:szCs w:val="24"/>
        </w:rPr>
        <w:t xml:space="preserve">N.º 1 AO PROJETO DE LEI </w:t>
      </w:r>
      <w:r w:rsidR="006A4172">
        <w:rPr>
          <w:b/>
          <w:sz w:val="24"/>
          <w:szCs w:val="24"/>
        </w:rPr>
        <w:t>COMLEMENTAR N.º 07</w:t>
      </w:r>
      <w:r w:rsidR="00660075" w:rsidRPr="00660075">
        <w:rPr>
          <w:b/>
          <w:sz w:val="24"/>
          <w:szCs w:val="24"/>
        </w:rPr>
        <w:t>/2021</w:t>
      </w:r>
    </w:p>
    <w:p w:rsidR="00660075" w:rsidRDefault="00660075" w:rsidP="00660075">
      <w:pPr>
        <w:spacing w:after="0"/>
        <w:rPr>
          <w:sz w:val="24"/>
          <w:szCs w:val="24"/>
        </w:rPr>
      </w:pPr>
    </w:p>
    <w:p w:rsidR="00660075" w:rsidRPr="00660075" w:rsidRDefault="00B02F4B" w:rsidP="00660075">
      <w:pPr>
        <w:spacing w:after="0"/>
        <w:ind w:left="1418"/>
        <w:rPr>
          <w:i/>
          <w:sz w:val="24"/>
          <w:szCs w:val="24"/>
        </w:rPr>
      </w:pPr>
      <w:r>
        <w:rPr>
          <w:i/>
          <w:sz w:val="24"/>
          <w:szCs w:val="24"/>
        </w:rPr>
        <w:t>“</w:t>
      </w:r>
      <w:r w:rsidR="006A4172">
        <w:rPr>
          <w:i/>
          <w:sz w:val="24"/>
          <w:szCs w:val="24"/>
        </w:rPr>
        <w:t>ALTERA DISPOSITIVOS DO PROJETO DE LEI COMPLEMENTAR N.º 007/2021</w:t>
      </w:r>
      <w:r w:rsidR="00660075">
        <w:rPr>
          <w:i/>
          <w:sz w:val="24"/>
          <w:szCs w:val="24"/>
        </w:rPr>
        <w:t>”</w:t>
      </w:r>
    </w:p>
    <w:p w:rsidR="00660075" w:rsidRPr="00660075" w:rsidRDefault="00660075" w:rsidP="00660075">
      <w:pPr>
        <w:spacing w:after="0"/>
        <w:rPr>
          <w:sz w:val="24"/>
          <w:szCs w:val="24"/>
        </w:rPr>
      </w:pPr>
    </w:p>
    <w:p w:rsidR="004C4DCB" w:rsidRDefault="003E72C9" w:rsidP="00660075">
      <w:pPr>
        <w:spacing w:after="0"/>
        <w:jc w:val="both"/>
        <w:rPr>
          <w:sz w:val="24"/>
          <w:szCs w:val="24"/>
        </w:rPr>
      </w:pPr>
      <w:r>
        <w:rPr>
          <w:sz w:val="24"/>
          <w:szCs w:val="24"/>
        </w:rPr>
        <w:t>A</w:t>
      </w:r>
      <w:r w:rsidR="004C4DCB">
        <w:rPr>
          <w:sz w:val="24"/>
          <w:szCs w:val="24"/>
        </w:rPr>
        <w:t xml:space="preserve"> ementa</w:t>
      </w:r>
      <w:r>
        <w:rPr>
          <w:sz w:val="24"/>
          <w:szCs w:val="24"/>
        </w:rPr>
        <w:t xml:space="preserve"> do projeto de lei em epígrafe passa a ter a seguinte redação:</w:t>
      </w:r>
    </w:p>
    <w:p w:rsidR="003E72C9" w:rsidRDefault="003E72C9" w:rsidP="00660075">
      <w:pPr>
        <w:spacing w:after="0"/>
        <w:jc w:val="both"/>
        <w:rPr>
          <w:sz w:val="24"/>
          <w:szCs w:val="24"/>
        </w:rPr>
      </w:pPr>
    </w:p>
    <w:p w:rsidR="003E72C9" w:rsidRDefault="003E72C9" w:rsidP="00660075">
      <w:pPr>
        <w:spacing w:after="0"/>
        <w:jc w:val="both"/>
        <w:rPr>
          <w:sz w:val="24"/>
          <w:szCs w:val="24"/>
        </w:rPr>
      </w:pPr>
      <w:r>
        <w:rPr>
          <w:sz w:val="24"/>
          <w:szCs w:val="24"/>
        </w:rPr>
        <w:t>“</w:t>
      </w:r>
      <w:r w:rsidR="006A4172" w:rsidRPr="006A4172">
        <w:rPr>
          <w:i/>
          <w:sz w:val="24"/>
          <w:szCs w:val="24"/>
        </w:rPr>
        <w:t>ALTERA A REDAÇÃO DO ANE</w:t>
      </w:r>
      <w:r w:rsidR="006A4172">
        <w:rPr>
          <w:i/>
          <w:sz w:val="24"/>
          <w:szCs w:val="24"/>
        </w:rPr>
        <w:t xml:space="preserve">XO III DA LEI MUNICIPAL N.º 653, </w:t>
      </w:r>
      <w:r w:rsidR="006A4172" w:rsidRPr="006A4172">
        <w:rPr>
          <w:i/>
          <w:sz w:val="24"/>
          <w:szCs w:val="24"/>
        </w:rPr>
        <w:t>DE 05 DE AGOSTO DE 1999, ALTERADA PELA LEI COMPLEMENTAR N.º 27, DE 15 DE JUNHO DE 2015</w:t>
      </w:r>
      <w:r>
        <w:rPr>
          <w:sz w:val="24"/>
          <w:szCs w:val="24"/>
        </w:rPr>
        <w:t>.”</w:t>
      </w:r>
    </w:p>
    <w:p w:rsidR="003E72C9" w:rsidRDefault="003E72C9" w:rsidP="00660075">
      <w:pPr>
        <w:spacing w:after="0"/>
        <w:jc w:val="both"/>
        <w:rPr>
          <w:sz w:val="24"/>
          <w:szCs w:val="24"/>
        </w:rPr>
      </w:pPr>
    </w:p>
    <w:p w:rsidR="00660075" w:rsidRDefault="006A4172" w:rsidP="00660075">
      <w:pPr>
        <w:spacing w:after="0"/>
        <w:jc w:val="both"/>
        <w:rPr>
          <w:sz w:val="24"/>
          <w:szCs w:val="24"/>
        </w:rPr>
      </w:pPr>
      <w:r>
        <w:rPr>
          <w:sz w:val="24"/>
          <w:szCs w:val="24"/>
        </w:rPr>
        <w:t xml:space="preserve">O </w:t>
      </w:r>
      <w:r>
        <w:rPr>
          <w:i/>
          <w:sz w:val="24"/>
          <w:szCs w:val="24"/>
        </w:rPr>
        <w:t xml:space="preserve">caput </w:t>
      </w:r>
      <w:r>
        <w:rPr>
          <w:sz w:val="24"/>
          <w:szCs w:val="24"/>
        </w:rPr>
        <w:t>do Art. 1º do projeto de lei em epígrafe passa a ter a seguinte redação:</w:t>
      </w:r>
    </w:p>
    <w:p w:rsidR="006A4172" w:rsidRDefault="006A4172" w:rsidP="00660075">
      <w:pPr>
        <w:spacing w:after="0"/>
        <w:jc w:val="both"/>
        <w:rPr>
          <w:sz w:val="24"/>
          <w:szCs w:val="24"/>
        </w:rPr>
      </w:pPr>
    </w:p>
    <w:p w:rsidR="006A4172" w:rsidRDefault="006A4172" w:rsidP="00660075">
      <w:pPr>
        <w:spacing w:after="0"/>
        <w:jc w:val="both"/>
        <w:rPr>
          <w:sz w:val="24"/>
          <w:szCs w:val="24"/>
        </w:rPr>
      </w:pPr>
      <w:r>
        <w:rPr>
          <w:sz w:val="24"/>
          <w:szCs w:val="24"/>
        </w:rPr>
        <w:t>“</w:t>
      </w:r>
      <w:r w:rsidRPr="006A4172">
        <w:rPr>
          <w:b/>
          <w:sz w:val="24"/>
          <w:szCs w:val="24"/>
        </w:rPr>
        <w:t>Art. 1º.</w:t>
      </w:r>
      <w:r>
        <w:rPr>
          <w:sz w:val="24"/>
          <w:szCs w:val="24"/>
        </w:rPr>
        <w:t xml:space="preserve"> O Anexo III da Lei Municipal n.º 653, de 05 de agosto de 1999, alterado pela Lei Complementar n.º 27, de 15 de junho de 2015, no que se refere aos requisitos de investidura do cargo público de motorista, passa a ter a seguinte redação:”</w:t>
      </w:r>
    </w:p>
    <w:p w:rsidR="006A4172" w:rsidRDefault="006A4172" w:rsidP="00660075">
      <w:pPr>
        <w:spacing w:after="0"/>
        <w:jc w:val="both"/>
        <w:rPr>
          <w:sz w:val="24"/>
          <w:szCs w:val="24"/>
        </w:rPr>
      </w:pPr>
    </w:p>
    <w:p w:rsidR="006A4172" w:rsidRPr="00660075" w:rsidRDefault="006A4172" w:rsidP="00660075">
      <w:pPr>
        <w:spacing w:after="0"/>
        <w:jc w:val="both"/>
        <w:rPr>
          <w:sz w:val="24"/>
          <w:szCs w:val="24"/>
        </w:rPr>
      </w:pPr>
    </w:p>
    <w:p w:rsidR="004C4DCB" w:rsidRDefault="00660075" w:rsidP="00660075">
      <w:pPr>
        <w:spacing w:after="0"/>
        <w:jc w:val="both"/>
        <w:rPr>
          <w:sz w:val="24"/>
          <w:szCs w:val="24"/>
        </w:rPr>
      </w:pPr>
      <w:r w:rsidRPr="00660075">
        <w:rPr>
          <w:b/>
          <w:sz w:val="24"/>
          <w:szCs w:val="24"/>
        </w:rPr>
        <w:t>JUSTIFICATIVA:</w:t>
      </w:r>
      <w:r w:rsidR="004C4DCB">
        <w:rPr>
          <w:sz w:val="24"/>
          <w:szCs w:val="24"/>
        </w:rPr>
        <w:t xml:space="preserve"> A presente emenda modificativa </w:t>
      </w:r>
      <w:r w:rsidR="006A4172">
        <w:rPr>
          <w:sz w:val="24"/>
          <w:szCs w:val="24"/>
        </w:rPr>
        <w:t>adequar a redação do projeto às alterações que estão sendo feitas nas leis que menciona.</w:t>
      </w:r>
    </w:p>
    <w:p w:rsidR="006A4172" w:rsidRDefault="006A4172" w:rsidP="00660075">
      <w:pPr>
        <w:spacing w:after="0"/>
        <w:jc w:val="both"/>
        <w:rPr>
          <w:sz w:val="24"/>
          <w:szCs w:val="24"/>
        </w:rPr>
      </w:pPr>
    </w:p>
    <w:p w:rsidR="006A4172" w:rsidRDefault="006A4172" w:rsidP="00660075">
      <w:pPr>
        <w:spacing w:after="0"/>
        <w:jc w:val="both"/>
        <w:rPr>
          <w:sz w:val="24"/>
          <w:szCs w:val="24"/>
        </w:rPr>
      </w:pPr>
      <w:r>
        <w:rPr>
          <w:sz w:val="24"/>
          <w:szCs w:val="24"/>
        </w:rPr>
        <w:t>Itapeva – MG, 09 de dezembro de 2021.</w:t>
      </w:r>
    </w:p>
    <w:p w:rsidR="006A4172" w:rsidRDefault="006A4172" w:rsidP="00660075">
      <w:pPr>
        <w:spacing w:after="0"/>
        <w:jc w:val="both"/>
        <w:rPr>
          <w:sz w:val="24"/>
          <w:szCs w:val="24"/>
        </w:rPr>
      </w:pPr>
    </w:p>
    <w:p w:rsidR="006A4172" w:rsidRPr="006A4172" w:rsidRDefault="006A4172" w:rsidP="00660075">
      <w:pPr>
        <w:spacing w:after="0"/>
        <w:jc w:val="both"/>
        <w:rPr>
          <w:b/>
          <w:sz w:val="24"/>
          <w:szCs w:val="24"/>
        </w:rPr>
      </w:pPr>
      <w:bookmarkStart w:id="0" w:name="_GoBack"/>
      <w:r w:rsidRPr="006A4172">
        <w:rPr>
          <w:b/>
          <w:sz w:val="24"/>
          <w:szCs w:val="24"/>
        </w:rPr>
        <w:t xml:space="preserve">Comissão Permanente de Legislação, Justiça e Redação </w:t>
      </w:r>
      <w:proofErr w:type="gramStart"/>
      <w:r w:rsidRPr="006A4172">
        <w:rPr>
          <w:b/>
          <w:sz w:val="24"/>
          <w:szCs w:val="24"/>
        </w:rPr>
        <w:t>Final</w:t>
      </w:r>
      <w:proofErr w:type="gramEnd"/>
    </w:p>
    <w:bookmarkEnd w:id="0"/>
    <w:p w:rsidR="003E72C9" w:rsidRDefault="003E72C9" w:rsidP="00660075">
      <w:pPr>
        <w:spacing w:after="0"/>
        <w:jc w:val="both"/>
        <w:rPr>
          <w:b/>
          <w:i/>
          <w:sz w:val="24"/>
          <w:szCs w:val="24"/>
        </w:rPr>
      </w:pPr>
    </w:p>
    <w:p w:rsidR="00660075" w:rsidRPr="00660075" w:rsidRDefault="00660075" w:rsidP="00660075">
      <w:pPr>
        <w:spacing w:after="0"/>
        <w:jc w:val="both"/>
        <w:rPr>
          <w:b/>
          <w:i/>
          <w:sz w:val="24"/>
          <w:szCs w:val="24"/>
        </w:rPr>
      </w:pPr>
      <w:r w:rsidRPr="00660075">
        <w:rPr>
          <w:b/>
          <w:i/>
          <w:sz w:val="24"/>
          <w:szCs w:val="24"/>
        </w:rPr>
        <w:t>TONY SANDRO DE LIMA</w:t>
      </w:r>
    </w:p>
    <w:p w:rsidR="00660075" w:rsidRDefault="00660075" w:rsidP="00660075">
      <w:pPr>
        <w:spacing w:after="0"/>
        <w:jc w:val="both"/>
        <w:rPr>
          <w:sz w:val="24"/>
          <w:szCs w:val="24"/>
        </w:rPr>
      </w:pPr>
      <w:r>
        <w:rPr>
          <w:sz w:val="24"/>
          <w:szCs w:val="24"/>
        </w:rPr>
        <w:t>Presidente da Comissão</w:t>
      </w:r>
    </w:p>
    <w:p w:rsidR="00660075" w:rsidRDefault="00660075" w:rsidP="00660075">
      <w:pPr>
        <w:spacing w:after="0"/>
        <w:jc w:val="both"/>
        <w:rPr>
          <w:sz w:val="24"/>
          <w:szCs w:val="24"/>
        </w:rPr>
      </w:pPr>
    </w:p>
    <w:p w:rsidR="00660075" w:rsidRPr="00660075" w:rsidRDefault="00660075" w:rsidP="00660075">
      <w:pPr>
        <w:spacing w:after="0"/>
        <w:jc w:val="both"/>
        <w:rPr>
          <w:b/>
          <w:i/>
          <w:sz w:val="24"/>
          <w:szCs w:val="24"/>
        </w:rPr>
      </w:pPr>
      <w:r w:rsidRPr="00660075">
        <w:rPr>
          <w:b/>
          <w:i/>
          <w:sz w:val="24"/>
          <w:szCs w:val="24"/>
        </w:rPr>
        <w:t>SINVALDO JOSÉ LOPES</w:t>
      </w:r>
    </w:p>
    <w:p w:rsidR="00660075" w:rsidRDefault="00660075" w:rsidP="00660075">
      <w:pPr>
        <w:spacing w:after="0"/>
        <w:jc w:val="both"/>
        <w:rPr>
          <w:sz w:val="24"/>
          <w:szCs w:val="24"/>
        </w:rPr>
      </w:pPr>
      <w:r>
        <w:rPr>
          <w:sz w:val="24"/>
          <w:szCs w:val="24"/>
        </w:rPr>
        <w:t>Vice-Presidente</w:t>
      </w:r>
    </w:p>
    <w:p w:rsidR="00660075" w:rsidRPr="00660075" w:rsidRDefault="00660075" w:rsidP="00660075">
      <w:pPr>
        <w:spacing w:after="0"/>
        <w:jc w:val="both"/>
        <w:rPr>
          <w:b/>
          <w:i/>
          <w:sz w:val="24"/>
          <w:szCs w:val="24"/>
        </w:rPr>
      </w:pPr>
    </w:p>
    <w:p w:rsidR="00660075" w:rsidRPr="00660075" w:rsidRDefault="00660075" w:rsidP="00660075">
      <w:pPr>
        <w:spacing w:after="0"/>
        <w:jc w:val="both"/>
        <w:rPr>
          <w:b/>
          <w:i/>
          <w:sz w:val="24"/>
          <w:szCs w:val="24"/>
        </w:rPr>
      </w:pPr>
      <w:r w:rsidRPr="00660075">
        <w:rPr>
          <w:b/>
          <w:i/>
          <w:sz w:val="24"/>
          <w:szCs w:val="24"/>
        </w:rPr>
        <w:t>ALEXANDRE SABINO BRAGA</w:t>
      </w:r>
    </w:p>
    <w:p w:rsidR="00660075" w:rsidRPr="00660075" w:rsidRDefault="00660075" w:rsidP="00660075">
      <w:pPr>
        <w:spacing w:after="0"/>
        <w:jc w:val="both"/>
        <w:rPr>
          <w:sz w:val="24"/>
          <w:szCs w:val="24"/>
        </w:rPr>
      </w:pPr>
      <w:r>
        <w:rPr>
          <w:sz w:val="24"/>
          <w:szCs w:val="24"/>
        </w:rPr>
        <w:t>Membro</w:t>
      </w:r>
    </w:p>
    <w:sectPr w:rsidR="00660075" w:rsidRPr="00660075">
      <w:headerReference w:type="default" r:id="rId8"/>
      <w:footerReference w:type="default" r:id="rId9"/>
      <w:pgSz w:w="11907" w:h="16840"/>
      <w:pgMar w:top="1701" w:right="1134" w:bottom="1134" w:left="1984" w:header="567" w:footer="85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354" w:rsidRDefault="00171354">
      <w:pPr>
        <w:spacing w:after="0" w:line="240" w:lineRule="auto"/>
      </w:pPr>
      <w:r>
        <w:separator/>
      </w:r>
    </w:p>
  </w:endnote>
  <w:endnote w:type="continuationSeparator" w:id="0">
    <w:p w:rsidR="00171354" w:rsidRDefault="0017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3" w:rsidRDefault="00DA55E3">
    <w:pPr>
      <w:pStyle w:val="Standard"/>
      <w:tabs>
        <w:tab w:val="center" w:pos="4419"/>
        <w:tab w:val="right" w:pos="8789"/>
      </w:tabs>
      <w:jc w:val="right"/>
      <w:rPr>
        <w:rFonts w:ascii="Arial" w:hAnsi="Arial" w:cs="Arial"/>
        <w:sz w:val="44"/>
        <w:szCs w:val="44"/>
        <w:lang w:val="en-US" w:eastAsia="en-US"/>
      </w:rPr>
    </w:pPr>
  </w:p>
  <w:p w:rsidR="00DA55E3" w:rsidRDefault="00DA55E3">
    <w:pPr>
      <w:pStyle w:val="Standard"/>
      <w:tabs>
        <w:tab w:val="center" w:pos="4419"/>
        <w:tab w:val="right" w:pos="8789"/>
      </w:tabs>
      <w:jc w:val="center"/>
      <w:rPr>
        <w:rFonts w:ascii="Arial" w:hAnsi="Arial" w:cs="Arial"/>
        <w:sz w:val="44"/>
        <w:szCs w:val="44"/>
        <w:lang w:val="en-US"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354" w:rsidRDefault="00171354">
      <w:pPr>
        <w:spacing w:after="0" w:line="240" w:lineRule="auto"/>
      </w:pPr>
      <w:r>
        <w:separator/>
      </w:r>
    </w:p>
  </w:footnote>
  <w:footnote w:type="continuationSeparator" w:id="0">
    <w:p w:rsidR="00171354" w:rsidRDefault="00171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57"/>
      <w:gridCol w:w="6888"/>
    </w:tblGrid>
    <w:tr w:rsidR="00DA55E3">
      <w:tc>
        <w:tcPr>
          <w:tcW w:w="1757" w:type="dxa"/>
          <w:tcBorders>
            <w:top w:val="nil"/>
            <w:left w:val="nil"/>
            <w:bottom w:val="nil"/>
            <w:right w:val="nil"/>
          </w:tcBorders>
        </w:tcPr>
        <w:p w:rsidR="00DA55E3" w:rsidRDefault="00CB2CFC">
          <w:pPr>
            <w:pStyle w:val="Standard"/>
            <w:tabs>
              <w:tab w:val="center" w:pos="4419"/>
              <w:tab w:val="left" w:pos="8618"/>
              <w:tab w:val="left" w:pos="12036"/>
              <w:tab w:val="left" w:pos="12744"/>
              <w:tab w:val="left" w:pos="13452"/>
              <w:tab w:val="left" w:pos="14160"/>
              <w:tab w:val="left" w:pos="14868"/>
              <w:tab w:val="left" w:pos="15576"/>
              <w:tab w:val="left" w:pos="16284"/>
              <w:tab w:val="left" w:pos="16992"/>
            </w:tabs>
            <w:ind w:right="170"/>
            <w:rPr>
              <w:sz w:val="32"/>
              <w:szCs w:val="32"/>
              <w:lang w:val="en-US" w:eastAsia="en-US"/>
            </w:rPr>
          </w:pPr>
          <w:r>
            <w:rPr>
              <w:noProof/>
              <w:sz w:val="32"/>
              <w:szCs w:val="32"/>
            </w:rPr>
            <w:drawing>
              <wp:inline distT="0" distB="0" distL="0" distR="0">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6888" w:type="dxa"/>
          <w:tcBorders>
            <w:top w:val="nil"/>
            <w:left w:val="nil"/>
            <w:bottom w:val="nil"/>
            <w:right w:val="nil"/>
          </w:tcBorders>
        </w:tcPr>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proofErr w:type="spellStart"/>
          <w:r>
            <w:rPr>
              <w:sz w:val="32"/>
              <w:szCs w:val="32"/>
              <w:lang w:val="en-US" w:eastAsia="en-US"/>
            </w:rPr>
            <w:t>C</w:t>
          </w:r>
          <w:r>
            <w:rPr>
              <w:rFonts w:eastAsia="Times New Roman"/>
              <w:sz w:val="32"/>
              <w:szCs w:val="32"/>
              <w:lang w:val="en-US" w:eastAsia="en-US"/>
            </w:rPr>
            <w:t>âmara</w:t>
          </w:r>
          <w:proofErr w:type="spellEnd"/>
          <w:r>
            <w:rPr>
              <w:rFonts w:eastAsia="Times New Roman"/>
              <w:sz w:val="32"/>
              <w:szCs w:val="32"/>
              <w:lang w:val="en-US" w:eastAsia="en-US"/>
            </w:rPr>
            <w:t xml:space="preserve"> Municipal de </w:t>
          </w:r>
          <w:proofErr w:type="spellStart"/>
          <w:r>
            <w:rPr>
              <w:rFonts w:eastAsia="Times New Roman"/>
              <w:sz w:val="32"/>
              <w:szCs w:val="32"/>
              <w:lang w:val="en-US" w:eastAsia="en-US"/>
            </w:rPr>
            <w:t>Itapeva</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rFonts w:eastAsia="Times New Roman"/>
              <w:sz w:val="32"/>
              <w:szCs w:val="32"/>
              <w:lang w:val="en-US" w:eastAsia="en-US"/>
            </w:rPr>
          </w:pPr>
          <w:r>
            <w:rPr>
              <w:rFonts w:eastAsia="Times New Roman"/>
              <w:sz w:val="32"/>
              <w:szCs w:val="32"/>
              <w:lang w:val="en-US" w:eastAsia="en-US"/>
            </w:rPr>
            <w:t xml:space="preserve">Estado de Minas </w:t>
          </w:r>
          <w:proofErr w:type="spellStart"/>
          <w:r>
            <w:rPr>
              <w:rFonts w:eastAsia="Times New Roman"/>
              <w:sz w:val="32"/>
              <w:szCs w:val="32"/>
              <w:lang w:val="en-US" w:eastAsia="en-US"/>
            </w:rPr>
            <w:t>Gerais</w:t>
          </w:r>
          <w:proofErr w:type="spellEnd"/>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proofErr w:type="spellStart"/>
          <w:r>
            <w:rPr>
              <w:lang w:val="en-US" w:eastAsia="en-US"/>
            </w:rPr>
            <w:t>Rua</w:t>
          </w:r>
          <w:proofErr w:type="spellEnd"/>
          <w:r>
            <w:rPr>
              <w:lang w:val="en-US" w:eastAsia="en-US"/>
            </w:rPr>
            <w:t xml:space="preserve"> </w:t>
          </w:r>
          <w:proofErr w:type="spellStart"/>
          <w:r>
            <w:rPr>
              <w:lang w:val="en-US" w:eastAsia="en-US"/>
            </w:rPr>
            <w:t>Otavio</w:t>
          </w:r>
          <w:proofErr w:type="spellEnd"/>
          <w:r>
            <w:rPr>
              <w:lang w:val="en-US" w:eastAsia="en-US"/>
            </w:rPr>
            <w:t xml:space="preserve"> </w:t>
          </w:r>
          <w:proofErr w:type="spellStart"/>
          <w:r>
            <w:rPr>
              <w:lang w:val="en-US" w:eastAsia="en-US"/>
            </w:rPr>
            <w:t>Lemes</w:t>
          </w:r>
          <w:proofErr w:type="spellEnd"/>
          <w:r>
            <w:rPr>
              <w:lang w:val="en-US" w:eastAsia="en-US"/>
            </w:rPr>
            <w:t xml:space="preserve"> da Silva, 152 - Centro - 37655-000</w:t>
          </w:r>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lang w:val="en-US" w:eastAsia="en-US"/>
            </w:rPr>
          </w:pPr>
          <w:r>
            <w:rPr>
              <w:lang w:val="en-US" w:eastAsia="en-US"/>
            </w:rPr>
            <w:t xml:space="preserve">PABX: (35) 3434.1177 / Fax (35) 3434.1582 </w:t>
          </w:r>
        </w:p>
        <w:p w:rsidR="00DA55E3" w:rsidRDefault="00DA55E3">
          <w:pPr>
            <w:pStyle w:val="Standard"/>
            <w:tabs>
              <w:tab w:val="center" w:pos="4419"/>
              <w:tab w:val="left" w:pos="8788"/>
              <w:tab w:val="left" w:pos="12036"/>
              <w:tab w:val="left" w:pos="12744"/>
              <w:tab w:val="left" w:pos="13452"/>
              <w:tab w:val="left" w:pos="14160"/>
              <w:tab w:val="left" w:pos="14868"/>
              <w:tab w:val="left" w:pos="15576"/>
              <w:tab w:val="left" w:pos="16284"/>
              <w:tab w:val="left" w:pos="16992"/>
            </w:tabs>
            <w:jc w:val="center"/>
            <w:rPr>
              <w:sz w:val="32"/>
              <w:szCs w:val="32"/>
              <w:lang w:val="en-US" w:eastAsia="en-US"/>
            </w:rPr>
          </w:pPr>
          <w:r>
            <w:rPr>
              <w:lang w:val="en-US" w:eastAsia="en-US"/>
            </w:rPr>
            <w:t>site: www.camaraitapeva.mg.gov.br - e-mail: camara@camaraitapeva.mg.gov.br</w:t>
          </w:r>
        </w:p>
      </w:tc>
    </w:tr>
  </w:tbl>
  <w:p w:rsidR="00DA55E3" w:rsidRDefault="00DA55E3">
    <w:pPr>
      <w:pStyle w:val="Standard"/>
      <w:tabs>
        <w:tab w:val="center" w:pos="4419"/>
        <w:tab w:val="right" w:pos="8789"/>
      </w:tabs>
      <w:rPr>
        <w:sz w:val="32"/>
        <w:szCs w:val="32"/>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E"/>
    <w:rsid w:val="00171354"/>
    <w:rsid w:val="001C237F"/>
    <w:rsid w:val="002E73D3"/>
    <w:rsid w:val="003E72C9"/>
    <w:rsid w:val="0042125D"/>
    <w:rsid w:val="004C4DCB"/>
    <w:rsid w:val="00660075"/>
    <w:rsid w:val="006A4172"/>
    <w:rsid w:val="00765CA5"/>
    <w:rsid w:val="00797EEE"/>
    <w:rsid w:val="00873203"/>
    <w:rsid w:val="00B02F4B"/>
    <w:rsid w:val="00C17087"/>
    <w:rsid w:val="00C74FB8"/>
    <w:rsid w:val="00CB2CFC"/>
    <w:rsid w:val="00D22E95"/>
    <w:rsid w:val="00D52354"/>
    <w:rsid w:val="00DA55E3"/>
    <w:rsid w:val="00DB1E88"/>
    <w:rsid w:val="00E72348"/>
    <w:rsid w:val="00E8267C"/>
    <w:rsid w:val="00E87734"/>
    <w:rsid w:val="00F8542A"/>
    <w:rsid w:val="00F92656"/>
    <w:rsid w:val="00FB63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Cabealho">
    <w:name w:val="header"/>
    <w:basedOn w:val="Normal"/>
    <w:link w:val="CabealhoChar"/>
    <w:uiPriority w:val="99"/>
    <w:unhideWhenUsed/>
    <w:rsid w:val="00797EEE"/>
    <w:pPr>
      <w:tabs>
        <w:tab w:val="center" w:pos="4252"/>
        <w:tab w:val="right" w:pos="8504"/>
      </w:tabs>
    </w:pPr>
  </w:style>
  <w:style w:type="character" w:customStyle="1" w:styleId="CabealhoChar">
    <w:name w:val="Cabeçalho Char"/>
    <w:basedOn w:val="Fontepargpadro"/>
    <w:link w:val="Cabealho"/>
    <w:uiPriority w:val="99"/>
    <w:locked/>
    <w:rsid w:val="00797EEE"/>
    <w:rPr>
      <w:rFonts w:cs="Times New Roman"/>
    </w:rPr>
  </w:style>
  <w:style w:type="paragraph" w:styleId="Rodap">
    <w:name w:val="footer"/>
    <w:basedOn w:val="Normal"/>
    <w:link w:val="RodapChar"/>
    <w:uiPriority w:val="99"/>
    <w:unhideWhenUsed/>
    <w:rsid w:val="00797EEE"/>
    <w:pPr>
      <w:tabs>
        <w:tab w:val="center" w:pos="4252"/>
        <w:tab w:val="right" w:pos="8504"/>
      </w:tabs>
    </w:pPr>
  </w:style>
  <w:style w:type="character" w:customStyle="1" w:styleId="RodapChar">
    <w:name w:val="Rodapé Char"/>
    <w:basedOn w:val="Fontepargpadro"/>
    <w:link w:val="Rodap"/>
    <w:uiPriority w:val="99"/>
    <w:locked/>
    <w:rsid w:val="00797EEE"/>
    <w:rPr>
      <w:rFonts w:cs="Times New Roman"/>
    </w:rPr>
  </w:style>
  <w:style w:type="paragraph" w:styleId="Textodebalo">
    <w:name w:val="Balloon Text"/>
    <w:basedOn w:val="Normal"/>
    <w:link w:val="TextodebaloChar"/>
    <w:uiPriority w:val="99"/>
    <w:semiHidden/>
    <w:unhideWhenUsed/>
    <w:rsid w:val="006600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60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94D03-C952-42FF-AF1F-320F483F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161</Words>
  <Characters>872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8</cp:revision>
  <cp:lastPrinted>2021-12-09T17:08:00Z</cp:lastPrinted>
  <dcterms:created xsi:type="dcterms:W3CDTF">2021-12-09T16:57:00Z</dcterms:created>
  <dcterms:modified xsi:type="dcterms:W3CDTF">2021-12-09T17:08:00Z</dcterms:modified>
</cp:coreProperties>
</file>