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Default="00F045A3" w:rsidP="00F045A3">
      <w:pPr>
        <w:spacing w:after="0" w:line="240" w:lineRule="auto"/>
        <w:jc w:val="both"/>
        <w:rPr>
          <w:rFonts w:ascii="Calibri" w:hAnsi="Calibri" w:cs="Calibr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F045A3" w:rsidRDefault="006D2234" w:rsidP="00F045A3">
      <w:pPr>
        <w:spacing w:after="0"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F045A3">
        <w:rPr>
          <w:rFonts w:ascii="Calibri" w:hAnsi="Calibri" w:cs="Calibri"/>
          <w:b/>
          <w:caps/>
          <w:sz w:val="24"/>
          <w:szCs w:val="24"/>
        </w:rPr>
        <w:t>REdação fina</w:t>
      </w:r>
      <w:r w:rsidR="00BA1F1D" w:rsidRPr="00F045A3">
        <w:rPr>
          <w:rFonts w:ascii="Calibri" w:hAnsi="Calibri" w:cs="Calibri"/>
          <w:b/>
          <w:caps/>
          <w:sz w:val="24"/>
          <w:szCs w:val="24"/>
        </w:rPr>
        <w:t xml:space="preserve">l do </w:t>
      </w:r>
      <w:r w:rsidR="005D6DB4" w:rsidRPr="00F045A3">
        <w:rPr>
          <w:rFonts w:ascii="Calibri" w:hAnsi="Calibri" w:cs="Calibri"/>
          <w:b/>
          <w:caps/>
          <w:sz w:val="24"/>
          <w:szCs w:val="24"/>
        </w:rPr>
        <w:t>projeto de lei ORDINÁRIA n.º 34</w:t>
      </w:r>
      <w:r w:rsidRPr="00F045A3">
        <w:rPr>
          <w:rFonts w:ascii="Calibri" w:hAnsi="Calibri" w:cs="Calibri"/>
          <w:b/>
          <w:caps/>
          <w:sz w:val="24"/>
          <w:szCs w:val="24"/>
        </w:rPr>
        <w:t>/2021</w:t>
      </w:r>
    </w:p>
    <w:bookmarkEnd w:id="0"/>
    <w:bookmarkEnd w:id="1"/>
    <w:p w:rsidR="00F045A3" w:rsidRDefault="00F045A3" w:rsidP="00F045A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045A3" w:rsidRPr="00F045A3" w:rsidRDefault="00F045A3" w:rsidP="00F045A3">
      <w:pPr>
        <w:spacing w:after="0" w:line="240" w:lineRule="auto"/>
        <w:ind w:left="1134"/>
        <w:jc w:val="both"/>
        <w:rPr>
          <w:rFonts w:ascii="Calibri" w:hAnsi="Calibri" w:cs="Calibri"/>
          <w:bCs/>
          <w:i/>
          <w:sz w:val="24"/>
          <w:szCs w:val="24"/>
        </w:rPr>
      </w:pPr>
      <w:r w:rsidRPr="00F045A3">
        <w:rPr>
          <w:rFonts w:ascii="Calibri" w:hAnsi="Calibri" w:cs="Calibri"/>
          <w:bCs/>
          <w:i/>
          <w:sz w:val="24"/>
          <w:szCs w:val="24"/>
        </w:rPr>
        <w:t xml:space="preserve">AUTORIZA O PODER EXECUTIVO MUNICIPAL A ADQUIRIR BEM IMÓVEL QUE </w:t>
      </w:r>
      <w:proofErr w:type="gramStart"/>
      <w:r w:rsidRPr="00F045A3">
        <w:rPr>
          <w:rFonts w:ascii="Calibri" w:hAnsi="Calibri" w:cs="Calibri"/>
          <w:bCs/>
          <w:i/>
          <w:sz w:val="24"/>
          <w:szCs w:val="24"/>
        </w:rPr>
        <w:t>ESPECIFICA,</w:t>
      </w:r>
      <w:proofErr w:type="gramEnd"/>
      <w:r w:rsidRPr="00F045A3">
        <w:rPr>
          <w:rFonts w:ascii="Calibri" w:hAnsi="Calibri" w:cs="Calibri"/>
          <w:bCs/>
          <w:i/>
          <w:sz w:val="24"/>
          <w:szCs w:val="24"/>
        </w:rPr>
        <w:t xml:space="preserve"> ABRIR CRÉDITO ES</w:t>
      </w:r>
      <w:r>
        <w:rPr>
          <w:rFonts w:ascii="Calibri" w:hAnsi="Calibri" w:cs="Calibri"/>
          <w:bCs/>
          <w:i/>
          <w:sz w:val="24"/>
          <w:szCs w:val="24"/>
        </w:rPr>
        <w:t>PECIAL E DÁ OUTRAS PROVIDÊNCIAS</w:t>
      </w:r>
      <w:r w:rsidRPr="00F045A3">
        <w:rPr>
          <w:rFonts w:ascii="Calibri" w:hAnsi="Calibri" w:cs="Calibri"/>
          <w:bCs/>
          <w:i/>
          <w:sz w:val="24"/>
          <w:szCs w:val="24"/>
        </w:rPr>
        <w:t>.</w:t>
      </w: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045A3">
        <w:rPr>
          <w:rFonts w:ascii="Calibri" w:hAnsi="Calibri" w:cs="Calibri"/>
          <w:b/>
          <w:bCs/>
          <w:sz w:val="24"/>
          <w:szCs w:val="24"/>
        </w:rPr>
        <w:t>O P</w:t>
      </w:r>
      <w:r>
        <w:rPr>
          <w:rFonts w:ascii="Calibri" w:hAnsi="Calibri" w:cs="Calibri"/>
          <w:b/>
          <w:bCs/>
          <w:sz w:val="24"/>
          <w:szCs w:val="24"/>
        </w:rPr>
        <w:t xml:space="preserve">REFEITO DO MUNICÍPIO DE ITAPEVA </w:t>
      </w:r>
      <w:r>
        <w:rPr>
          <w:rFonts w:ascii="Calibri" w:hAnsi="Calibri" w:cs="Calibri"/>
          <w:sz w:val="24"/>
          <w:szCs w:val="24"/>
        </w:rPr>
        <w:t xml:space="preserve">faz </w:t>
      </w:r>
      <w:r w:rsidRPr="00F045A3">
        <w:rPr>
          <w:rFonts w:ascii="Calibri" w:hAnsi="Calibri" w:cs="Calibri"/>
          <w:sz w:val="24"/>
          <w:szCs w:val="24"/>
        </w:rPr>
        <w:t>saber que</w:t>
      </w:r>
      <w:r>
        <w:rPr>
          <w:rFonts w:ascii="Calibri" w:hAnsi="Calibri" w:cs="Calibri"/>
          <w:sz w:val="24"/>
          <w:szCs w:val="24"/>
        </w:rPr>
        <w:t xml:space="preserve"> a Câmara Municipal aprovou e ele promulga</w:t>
      </w:r>
      <w:r w:rsidRPr="00F045A3">
        <w:rPr>
          <w:rFonts w:ascii="Calibri" w:hAnsi="Calibri" w:cs="Calibri"/>
          <w:sz w:val="24"/>
          <w:szCs w:val="24"/>
        </w:rPr>
        <w:t xml:space="preserve"> a seguinte lei: </w:t>
      </w: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045A3" w:rsidRDefault="00F045A3" w:rsidP="00F045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3315B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 xml:space="preserve">. </w:t>
      </w:r>
      <w:r w:rsidRPr="0043315B">
        <w:rPr>
          <w:rFonts w:cstheme="minorHAnsi"/>
          <w:sz w:val="24"/>
          <w:szCs w:val="24"/>
        </w:rPr>
        <w:t>Fica o Poder Executivo autorizado, mediante procedimento licitatório pertinente, a adquirir bem imóvel urbano particular, conforme mapa e memorial descritivo em anexo, que ficam fazendo parte integrante desta lei.</w:t>
      </w: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045A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P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arágrafo único </w:t>
      </w:r>
      <w:r w:rsidRPr="00F045A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– </w:t>
      </w:r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 imóvel a ser adquirido e incorporado ao patrimônio público municipal consiste de: </w:t>
      </w:r>
      <w:proofErr w:type="gramStart"/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“um lote de terreno com área de 300,00m², sito à Avenida José Bonifácio, com edificação construída, de propriedade de WILSON ROBERTO DA SILVA, CPF 183.490.306-82, registrado junto ao CRI da Comarca de Camanducaia, sob Matrícula 4.617.</w:t>
      </w:r>
      <w:proofErr w:type="gramEnd"/>
    </w:p>
    <w:p w:rsidR="00F045A3" w:rsidRDefault="00F045A3" w:rsidP="00F045A3">
      <w:pPr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045A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Art. 2º - </w:t>
      </w:r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 valor de compra será de </w:t>
      </w:r>
      <w:proofErr w:type="gramStart"/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R$ 400.000,00 (quatrocentos mil reais), apurado</w:t>
      </w:r>
      <w:proofErr w:type="gramEnd"/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conforme laudos de avaliação elaborados pela Comissão Permanente de Avaliação, nomeada pelo Decreto nº 50 de 28 de setembro de 2021, em anexo, que ficam fazendo parte integrante desta Lei.              </w:t>
      </w:r>
    </w:p>
    <w:p w:rsidR="00F045A3" w:rsidRDefault="00F045A3" w:rsidP="00F045A3">
      <w:pPr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bookmarkStart w:id="2" w:name="_Hlk89845038"/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045A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Art. 3º -</w:t>
      </w:r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bookmarkEnd w:id="2"/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 imóvel adquirido será destinado exclusivamente à instalação de prédio público da Secretaria Municipal de Educação, sendo vedada a utilização para outro fim.</w:t>
      </w:r>
    </w:p>
    <w:p w:rsidR="00F045A3" w:rsidRDefault="00F045A3" w:rsidP="00F045A3">
      <w:pPr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045A3" w:rsidRDefault="00F045A3" w:rsidP="00F045A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045A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Art. 4º - </w:t>
      </w:r>
      <w:r w:rsidRPr="00F045A3">
        <w:rPr>
          <w:rFonts w:ascii="Calibri" w:hAnsi="Calibri" w:cs="Calibri"/>
          <w:sz w:val="24"/>
          <w:szCs w:val="24"/>
        </w:rPr>
        <w:t xml:space="preserve">Para consecução do previsto nos artigos anteriores, fica autorizado o Chefe do Poder Executivo Municipal a abrir por decreto, </w:t>
      </w:r>
      <w:r w:rsidRPr="00F045A3">
        <w:rPr>
          <w:rFonts w:ascii="Calibri" w:hAnsi="Calibri" w:cs="Calibri"/>
          <w:b/>
          <w:sz w:val="24"/>
          <w:szCs w:val="24"/>
        </w:rPr>
        <w:t>CRÉDITO ESPECIAL</w:t>
      </w:r>
      <w:r w:rsidRPr="00F045A3">
        <w:rPr>
          <w:rFonts w:ascii="Calibri" w:hAnsi="Calibri" w:cs="Calibri"/>
          <w:sz w:val="24"/>
          <w:szCs w:val="24"/>
        </w:rPr>
        <w:t xml:space="preserve"> no valor de </w:t>
      </w:r>
      <w:proofErr w:type="gramStart"/>
      <w:r w:rsidRPr="00F045A3">
        <w:rPr>
          <w:rFonts w:ascii="Calibri" w:hAnsi="Calibri" w:cs="Calibri"/>
          <w:sz w:val="24"/>
          <w:szCs w:val="24"/>
        </w:rPr>
        <w:t>R$400.000,00 (Quatrocentos mil reais) no orçamento vigente, Lei</w:t>
      </w:r>
      <w:proofErr w:type="gramEnd"/>
      <w:r w:rsidRPr="00F045A3">
        <w:rPr>
          <w:rFonts w:ascii="Calibri" w:hAnsi="Calibri" w:cs="Calibri"/>
          <w:sz w:val="24"/>
          <w:szCs w:val="24"/>
        </w:rPr>
        <w:t xml:space="preserve"> Municipal n° 1.535 de 23 de Dezembro de 2020, na seguinte dotação orçamentária:</w:t>
      </w: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6276"/>
      </w:tblGrid>
      <w:tr w:rsidR="00F045A3" w:rsidRPr="00F045A3" w:rsidTr="00F045A3">
        <w:tc>
          <w:tcPr>
            <w:tcW w:w="2831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7023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Executivo</w:t>
            </w:r>
          </w:p>
        </w:tc>
      </w:tr>
      <w:tr w:rsidR="00F045A3" w:rsidRPr="00F045A3" w:rsidTr="00F045A3">
        <w:tc>
          <w:tcPr>
            <w:tcW w:w="2831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07</w:t>
            </w:r>
          </w:p>
        </w:tc>
        <w:tc>
          <w:tcPr>
            <w:tcW w:w="7023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Secretaria de Educação</w:t>
            </w:r>
          </w:p>
        </w:tc>
      </w:tr>
      <w:tr w:rsidR="00F045A3" w:rsidRPr="00F045A3" w:rsidTr="00F045A3">
        <w:tc>
          <w:tcPr>
            <w:tcW w:w="2831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7023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Secretaria de Educação</w:t>
            </w:r>
          </w:p>
        </w:tc>
      </w:tr>
      <w:tr w:rsidR="00F045A3" w:rsidRPr="00F045A3" w:rsidTr="00F045A3">
        <w:tc>
          <w:tcPr>
            <w:tcW w:w="2831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7023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</w:tr>
      <w:tr w:rsidR="00F045A3" w:rsidRPr="00F045A3" w:rsidTr="00F045A3">
        <w:tc>
          <w:tcPr>
            <w:tcW w:w="2831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12.361.0009</w:t>
            </w:r>
          </w:p>
        </w:tc>
        <w:tc>
          <w:tcPr>
            <w:tcW w:w="7023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ENSINO FUNDAMENTAL DE QUALIDADE</w:t>
            </w:r>
          </w:p>
        </w:tc>
      </w:tr>
      <w:tr w:rsidR="00F045A3" w:rsidRPr="00F045A3" w:rsidTr="00F045A3">
        <w:tc>
          <w:tcPr>
            <w:tcW w:w="2831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12.361.0009.1.010</w:t>
            </w:r>
          </w:p>
        </w:tc>
        <w:tc>
          <w:tcPr>
            <w:tcW w:w="7023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REFORMA E AMPLIAÇÃO DE PREDIOS ESCOLARES</w:t>
            </w:r>
          </w:p>
        </w:tc>
      </w:tr>
      <w:tr w:rsidR="00F045A3" w:rsidRPr="00F045A3" w:rsidTr="00F045A3">
        <w:tc>
          <w:tcPr>
            <w:tcW w:w="2831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12.361.0009.1.010.4.4.90.61</w:t>
            </w:r>
          </w:p>
        </w:tc>
        <w:tc>
          <w:tcPr>
            <w:tcW w:w="7023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>Aquisição de Imóveis</w:t>
            </w:r>
          </w:p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45A3">
              <w:rPr>
                <w:rFonts w:ascii="Calibri" w:hAnsi="Calibri" w:cs="Calibri"/>
                <w:sz w:val="24"/>
                <w:szCs w:val="24"/>
              </w:rPr>
              <w:t xml:space="preserve">Fonte </w:t>
            </w:r>
            <w:proofErr w:type="gramStart"/>
            <w:r w:rsidRPr="00F045A3">
              <w:rPr>
                <w:rFonts w:ascii="Calibri" w:hAnsi="Calibri" w:cs="Calibri"/>
                <w:sz w:val="24"/>
                <w:szCs w:val="24"/>
              </w:rPr>
              <w:t>101 ...</w:t>
            </w:r>
            <w:proofErr w:type="gramEnd"/>
            <w:r w:rsidRPr="00F045A3">
              <w:rPr>
                <w:rFonts w:ascii="Calibri" w:hAnsi="Calibri" w:cs="Calibri"/>
                <w:sz w:val="24"/>
                <w:szCs w:val="24"/>
              </w:rPr>
              <w:t>...................................R$400.000,00</w:t>
            </w:r>
          </w:p>
        </w:tc>
      </w:tr>
      <w:tr w:rsidR="00F045A3" w:rsidRPr="00F045A3" w:rsidTr="00F045A3">
        <w:tc>
          <w:tcPr>
            <w:tcW w:w="2831" w:type="dxa"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045A3">
              <w:rPr>
                <w:rFonts w:ascii="Calibri" w:hAnsi="Calibri" w:cs="Calibri"/>
                <w:b/>
                <w:sz w:val="24"/>
                <w:szCs w:val="24"/>
              </w:rPr>
              <w:t xml:space="preserve">Total                                              </w:t>
            </w:r>
          </w:p>
        </w:tc>
        <w:tc>
          <w:tcPr>
            <w:tcW w:w="7023" w:type="dxa"/>
            <w:hideMark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045A3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F045A3">
              <w:rPr>
                <w:rFonts w:ascii="Calibri" w:hAnsi="Calibri" w:cs="Calibri"/>
                <w:b/>
                <w:sz w:val="24"/>
                <w:szCs w:val="24"/>
              </w:rPr>
              <w:t>.....................................................</w:t>
            </w:r>
            <w:proofErr w:type="gramEnd"/>
            <w:r w:rsidRPr="00F045A3">
              <w:rPr>
                <w:rFonts w:ascii="Calibri" w:hAnsi="Calibri" w:cs="Calibri"/>
                <w:b/>
                <w:sz w:val="24"/>
                <w:szCs w:val="24"/>
              </w:rPr>
              <w:t xml:space="preserve">R$ 400.000,00                                                                                     </w:t>
            </w:r>
          </w:p>
        </w:tc>
      </w:tr>
      <w:tr w:rsidR="00F045A3" w:rsidRPr="00F045A3" w:rsidTr="00F045A3">
        <w:tc>
          <w:tcPr>
            <w:tcW w:w="2831" w:type="dxa"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23" w:type="dxa"/>
          </w:tcPr>
          <w:p w:rsidR="00F045A3" w:rsidRPr="00F045A3" w:rsidRDefault="00F045A3" w:rsidP="00F045A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F045A3" w:rsidRDefault="00F045A3" w:rsidP="00F045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045A3" w:rsidRPr="00F045A3" w:rsidRDefault="00F045A3" w:rsidP="00F045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045A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lastRenderedPageBreak/>
        <w:t xml:space="preserve">Art. 5º - </w:t>
      </w:r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Os recursos necessários à execução do disposto no artigo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2</w:t>
      </w:r>
      <w:bookmarkStart w:id="3" w:name="_GoBack"/>
      <w:bookmarkEnd w:id="3"/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º será o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excesso de arrecadação, conforme art. 43, §1º, inciso II e § 3º da Lei nº 4.320/64; parágrafo único do art. 8º da Lei Complementar nº 101/2000 e Demonstrativo de Apuração do Excesso de Arrecadação anexo, o qual fica fazendo parte integrante desta Lei.</w:t>
      </w:r>
    </w:p>
    <w:p w:rsidR="00F045A3" w:rsidRPr="00F045A3" w:rsidRDefault="00F045A3" w:rsidP="00F045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F045A3" w:rsidRPr="00F045A3" w:rsidRDefault="00F045A3" w:rsidP="00F045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045A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Art. 6º</w:t>
      </w:r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- Esta Lei autoriza a atualizar, no que couber, a Lei Ordinária nº 1.529, de10 de agosto de 2020 (Lei de Diretrizes Orçamentárias).</w:t>
      </w: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045A3" w:rsidRPr="00F045A3" w:rsidRDefault="00F045A3" w:rsidP="00F045A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045A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Art. 7º</w:t>
      </w:r>
      <w:r w:rsidRPr="00F045A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F045A3" w:rsidRPr="00F045A3" w:rsidRDefault="00F045A3" w:rsidP="00F045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D2234" w:rsidRDefault="006D2234" w:rsidP="00F045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045A3">
        <w:rPr>
          <w:rFonts w:ascii="Calibri" w:hAnsi="Calibri" w:cs="Calibri"/>
          <w:sz w:val="24"/>
          <w:szCs w:val="24"/>
        </w:rPr>
        <w:t xml:space="preserve">Sala das Sessões, </w:t>
      </w:r>
      <w:r w:rsidR="00F045A3">
        <w:rPr>
          <w:rFonts w:ascii="Calibri" w:hAnsi="Calibri" w:cs="Calibri"/>
          <w:sz w:val="24"/>
          <w:szCs w:val="24"/>
        </w:rPr>
        <w:t>14 de dezembro de 2021.</w:t>
      </w:r>
    </w:p>
    <w:p w:rsidR="00F045A3" w:rsidRPr="00F045A3" w:rsidRDefault="00F045A3" w:rsidP="00F045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7521F" w:rsidRPr="00F045A3" w:rsidRDefault="0057521F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2193E" w:rsidRPr="00F045A3" w:rsidRDefault="00B2193E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045A3">
        <w:rPr>
          <w:rFonts w:ascii="Calibri" w:hAnsi="Calibri" w:cs="Calibri"/>
          <w:b/>
          <w:bCs/>
          <w:sz w:val="24"/>
          <w:szCs w:val="24"/>
        </w:rPr>
        <w:t xml:space="preserve">Comissão Permanente </w:t>
      </w:r>
      <w:r w:rsidR="00323386" w:rsidRPr="00F045A3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="00F045A3">
        <w:rPr>
          <w:rFonts w:ascii="Calibri" w:hAnsi="Calibri" w:cs="Calibri"/>
          <w:b/>
          <w:bCs/>
          <w:sz w:val="24"/>
          <w:szCs w:val="24"/>
        </w:rPr>
        <w:t xml:space="preserve">Legislação, Justiça e Redação </w:t>
      </w:r>
      <w:proofErr w:type="gramStart"/>
      <w:r w:rsidR="00F045A3">
        <w:rPr>
          <w:rFonts w:ascii="Calibri" w:hAnsi="Calibri" w:cs="Calibri"/>
          <w:b/>
          <w:bCs/>
          <w:sz w:val="24"/>
          <w:szCs w:val="24"/>
        </w:rPr>
        <w:t>Final</w:t>
      </w:r>
      <w:proofErr w:type="gramEnd"/>
    </w:p>
    <w:p w:rsidR="00B2193E" w:rsidRPr="00F045A3" w:rsidRDefault="00B2193E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193E" w:rsidRPr="00F045A3" w:rsidRDefault="00B2193E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193E" w:rsidRPr="00F045A3" w:rsidRDefault="00F045A3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TONY SANDRO DE LIMA</w:t>
      </w:r>
    </w:p>
    <w:p w:rsidR="00B2193E" w:rsidRPr="00F045A3" w:rsidRDefault="00B2193E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045A3">
        <w:rPr>
          <w:rFonts w:ascii="Calibri" w:hAnsi="Calibri" w:cs="Calibri"/>
          <w:sz w:val="24"/>
          <w:szCs w:val="24"/>
        </w:rPr>
        <w:t>Presidente da CPLJRF</w:t>
      </w:r>
    </w:p>
    <w:p w:rsidR="00B2193E" w:rsidRPr="00F045A3" w:rsidRDefault="00B2193E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193E" w:rsidRPr="00F045A3" w:rsidRDefault="00F045A3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SINVALDO JOSÉ LOPES</w:t>
      </w:r>
    </w:p>
    <w:p w:rsidR="00B2193E" w:rsidRPr="00F045A3" w:rsidRDefault="00B2193E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045A3">
        <w:rPr>
          <w:rFonts w:ascii="Calibri" w:hAnsi="Calibri" w:cs="Calibri"/>
          <w:sz w:val="24"/>
          <w:szCs w:val="24"/>
        </w:rPr>
        <w:t>Vice-Presidente</w:t>
      </w:r>
    </w:p>
    <w:p w:rsidR="00B2193E" w:rsidRPr="00F045A3" w:rsidRDefault="00B2193E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193E" w:rsidRPr="00F045A3" w:rsidRDefault="00F045A3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ALEXANDRE SABINO BRAGA</w:t>
      </w:r>
    </w:p>
    <w:p w:rsidR="00B2193E" w:rsidRPr="00F045A3" w:rsidRDefault="00B2193E" w:rsidP="00F04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045A3">
        <w:rPr>
          <w:rFonts w:ascii="Calibri" w:hAnsi="Calibri" w:cs="Calibri"/>
          <w:bCs/>
          <w:i/>
          <w:iCs/>
          <w:sz w:val="24"/>
          <w:szCs w:val="24"/>
        </w:rPr>
        <w:t>Membro</w:t>
      </w:r>
    </w:p>
    <w:sectPr w:rsidR="00B2193E" w:rsidRPr="00F045A3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B2" w:rsidRDefault="00E311B2">
      <w:pPr>
        <w:spacing w:after="0" w:line="240" w:lineRule="auto"/>
      </w:pPr>
      <w:r>
        <w:separator/>
      </w:r>
    </w:p>
  </w:endnote>
  <w:endnote w:type="continuationSeparator" w:id="0">
    <w:p w:rsidR="00E311B2" w:rsidRDefault="00E3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B2" w:rsidRDefault="00E311B2">
      <w:pPr>
        <w:spacing w:after="0" w:line="240" w:lineRule="auto"/>
      </w:pPr>
      <w:r>
        <w:separator/>
      </w:r>
    </w:p>
  </w:footnote>
  <w:footnote w:type="continuationSeparator" w:id="0">
    <w:p w:rsidR="00E311B2" w:rsidRDefault="00E3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D39C4"/>
    <w:rsid w:val="0011453A"/>
    <w:rsid w:val="00154035"/>
    <w:rsid w:val="001872B4"/>
    <w:rsid w:val="001954C9"/>
    <w:rsid w:val="001E496E"/>
    <w:rsid w:val="001E7A6F"/>
    <w:rsid w:val="00323386"/>
    <w:rsid w:val="0034757B"/>
    <w:rsid w:val="004C02D7"/>
    <w:rsid w:val="004C6019"/>
    <w:rsid w:val="004E4D1C"/>
    <w:rsid w:val="0053643B"/>
    <w:rsid w:val="0057521F"/>
    <w:rsid w:val="005A0948"/>
    <w:rsid w:val="005D6DB4"/>
    <w:rsid w:val="0061046E"/>
    <w:rsid w:val="00631C39"/>
    <w:rsid w:val="006D2234"/>
    <w:rsid w:val="007511AD"/>
    <w:rsid w:val="007D2D6F"/>
    <w:rsid w:val="007F0C0E"/>
    <w:rsid w:val="00826D31"/>
    <w:rsid w:val="008A799C"/>
    <w:rsid w:val="00947970"/>
    <w:rsid w:val="009967C7"/>
    <w:rsid w:val="009B5EBD"/>
    <w:rsid w:val="009C5AE2"/>
    <w:rsid w:val="00A33087"/>
    <w:rsid w:val="00A35A6E"/>
    <w:rsid w:val="00B2193E"/>
    <w:rsid w:val="00B2591F"/>
    <w:rsid w:val="00BA1F1D"/>
    <w:rsid w:val="00BC4AD5"/>
    <w:rsid w:val="00CE14AC"/>
    <w:rsid w:val="00D010DF"/>
    <w:rsid w:val="00D33DC4"/>
    <w:rsid w:val="00DA3AE4"/>
    <w:rsid w:val="00DC3F30"/>
    <w:rsid w:val="00E311B2"/>
    <w:rsid w:val="00E56684"/>
    <w:rsid w:val="00E939B4"/>
    <w:rsid w:val="00EA55D7"/>
    <w:rsid w:val="00EA7CA8"/>
    <w:rsid w:val="00EC0203"/>
    <w:rsid w:val="00F045A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D709-D990-4E2B-9ABE-47319695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7</cp:revision>
  <cp:lastPrinted>2021-12-15T13:51:00Z</cp:lastPrinted>
  <dcterms:created xsi:type="dcterms:W3CDTF">2021-12-15T13:31:00Z</dcterms:created>
  <dcterms:modified xsi:type="dcterms:W3CDTF">2021-12-15T13:52:00Z</dcterms:modified>
</cp:coreProperties>
</file>