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233F" w:rsidRPr="00E37699" w:rsidRDefault="00B7233F" w:rsidP="00E37699">
      <w:pPr>
        <w:spacing w:after="0" w:line="240" w:lineRule="auto"/>
        <w:jc w:val="center"/>
        <w:rPr>
          <w:rFonts w:cstheme="minorHAnsi"/>
          <w:sz w:val="24"/>
          <w:szCs w:val="24"/>
        </w:rPr>
      </w:pPr>
      <w:bookmarkStart w:id="0" w:name="_Hlk71878163"/>
      <w:bookmarkStart w:id="1" w:name="_Hlk76991310"/>
    </w:p>
    <w:p w:rsidR="006D2234" w:rsidRPr="00E37699" w:rsidRDefault="00E37699" w:rsidP="00E3769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37699">
        <w:rPr>
          <w:rFonts w:cstheme="minorHAnsi"/>
          <w:b/>
          <w:sz w:val="24"/>
          <w:szCs w:val="24"/>
        </w:rPr>
        <w:t>REDAÇÃO FINAL DO PROJETO DE LEI ORDINÁRIA N.º 31/2022</w:t>
      </w:r>
    </w:p>
    <w:bookmarkEnd w:id="0"/>
    <w:bookmarkEnd w:id="1"/>
    <w:p w:rsidR="00354E58" w:rsidRPr="00E37699" w:rsidRDefault="00354E58" w:rsidP="00E376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37699" w:rsidRPr="00E37699" w:rsidRDefault="00E37699" w:rsidP="00E37699">
      <w:pPr>
        <w:pStyle w:val="NormalWeb"/>
        <w:spacing w:before="0" w:beforeAutospacing="0" w:after="0" w:afterAutospacing="0"/>
        <w:ind w:left="1134"/>
        <w:jc w:val="both"/>
        <w:rPr>
          <w:rFonts w:asciiTheme="minorHAnsi" w:eastAsiaTheme="minorEastAsia" w:hAnsiTheme="minorHAnsi" w:cstheme="minorHAnsi"/>
          <w:i/>
          <w:color w:val="1C1C1C"/>
        </w:rPr>
      </w:pPr>
      <w:r w:rsidRPr="00E37699">
        <w:rPr>
          <w:rFonts w:asciiTheme="minorHAnsi" w:eastAsiaTheme="minorEastAsia" w:hAnsiTheme="minorHAnsi" w:cstheme="minorHAnsi"/>
          <w:i/>
          <w:color w:val="1C1C1C"/>
        </w:rPr>
        <w:t>AUTORIZA O PODER EXECUTIVO MUNICIPAL A FIRMAR CONVÊNIO COM A PROESP – PROJETO ESPERANÇA E DÁ OUTRAS PROVIDÊNCIAS.</w:t>
      </w:r>
    </w:p>
    <w:p w:rsidR="00C76833" w:rsidRPr="00E37699" w:rsidRDefault="00C76833" w:rsidP="00E3769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</w:rPr>
      </w:pPr>
      <w:r w:rsidRPr="00E37699">
        <w:rPr>
          <w:rFonts w:asciiTheme="minorHAnsi" w:hAnsiTheme="minorHAnsi" w:cstheme="minorHAnsi"/>
          <w:i/>
        </w:rPr>
        <w:t> </w:t>
      </w:r>
    </w:p>
    <w:p w:rsidR="003C5DCA" w:rsidRPr="00E37699" w:rsidRDefault="00C76833" w:rsidP="00E3769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37699">
        <w:rPr>
          <w:rFonts w:asciiTheme="minorHAnsi" w:hAnsiTheme="minorHAnsi" w:cstheme="minorHAnsi"/>
        </w:rPr>
        <w:t>O Povo do Município de Itapeva, por seus representantes decretou, e eu, em seu nome, sanciono a seguinte Lei:</w:t>
      </w:r>
    </w:p>
    <w:p w:rsidR="003C5DCA" w:rsidRPr="00E37699" w:rsidRDefault="003C5DCA" w:rsidP="00E3769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E37699" w:rsidRPr="00E37699" w:rsidRDefault="00E37699" w:rsidP="00E376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E37699">
        <w:rPr>
          <w:rFonts w:eastAsia="Calibri" w:cstheme="minorHAnsi"/>
          <w:b/>
          <w:sz w:val="24"/>
          <w:szCs w:val="24"/>
        </w:rPr>
        <w:t>Art. 1°</w:t>
      </w:r>
      <w:r w:rsidRPr="00E37699">
        <w:rPr>
          <w:rFonts w:eastAsia="Calibri" w:cstheme="minorHAnsi"/>
          <w:bCs/>
          <w:sz w:val="24"/>
          <w:szCs w:val="24"/>
        </w:rPr>
        <w:t xml:space="preserve">. Fica o Chefe do Poder Executivo Municipal autorizado a firmar Termo de Convênio com a PROESP – PROJETO ESPERANÇA, inscrita no CNPJ sob o n° 10.757.239/0001-64, com sede na Rua Major </w:t>
      </w:r>
      <w:proofErr w:type="spellStart"/>
      <w:r w:rsidRPr="00E37699">
        <w:rPr>
          <w:rFonts w:eastAsia="Calibri" w:cstheme="minorHAnsi"/>
          <w:bCs/>
          <w:sz w:val="24"/>
          <w:szCs w:val="24"/>
        </w:rPr>
        <w:t>Theotonio</w:t>
      </w:r>
      <w:proofErr w:type="spellEnd"/>
      <w:r w:rsidRPr="00E37699">
        <w:rPr>
          <w:rFonts w:eastAsia="Calibri" w:cstheme="minorHAnsi"/>
          <w:bCs/>
          <w:sz w:val="24"/>
          <w:szCs w:val="24"/>
        </w:rPr>
        <w:t xml:space="preserve"> de Campos, 443, Centro, Município de Camanducaia/MG, que tem como objeto a manutenção das atividades e de suas finalidades estatutárias, para possibilitar o acolhimento de menores em situação de risco do Município de Itapeva, tudo em conformidade com a legislação e normas aplicáveis às atividades.</w:t>
      </w:r>
    </w:p>
    <w:p w:rsidR="00E37699" w:rsidRPr="00E37699" w:rsidRDefault="00E37699" w:rsidP="00E376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</w:p>
    <w:p w:rsidR="00E37699" w:rsidRPr="00E37699" w:rsidRDefault="00E37699" w:rsidP="00E376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E37699">
        <w:rPr>
          <w:rFonts w:eastAsia="Calibri" w:cstheme="minorHAnsi"/>
          <w:b/>
          <w:bCs/>
          <w:sz w:val="24"/>
          <w:szCs w:val="24"/>
        </w:rPr>
        <w:t>Parágrafo único -</w:t>
      </w:r>
      <w:r w:rsidRPr="00E37699">
        <w:rPr>
          <w:rFonts w:eastAsia="Calibri" w:cstheme="minorHAnsi"/>
          <w:bCs/>
          <w:sz w:val="24"/>
          <w:szCs w:val="24"/>
        </w:rPr>
        <w:t xml:space="preserve"> A cooperação financeira prevista no presente artigo corresponderá o valor mensal e sucessivo de R$ 20.000,00 (vinte mil reais) mensais, totalizando R$ 120.000,00 (cento e vinte mil reais) na forma estabelecida na minuta do termo de convênio e Plano de Trabalho, anexos.</w:t>
      </w:r>
    </w:p>
    <w:p w:rsidR="00E37699" w:rsidRPr="00E37699" w:rsidRDefault="00E37699" w:rsidP="00E376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</w:p>
    <w:p w:rsidR="00E37699" w:rsidRPr="00E37699" w:rsidRDefault="00E37699" w:rsidP="00E376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E37699">
        <w:rPr>
          <w:rFonts w:eastAsia="Calibri" w:cstheme="minorHAnsi"/>
          <w:b/>
          <w:sz w:val="24"/>
          <w:szCs w:val="24"/>
        </w:rPr>
        <w:t>Art.</w:t>
      </w:r>
      <w:r>
        <w:rPr>
          <w:rFonts w:eastAsia="Calibri" w:cstheme="minorHAnsi"/>
          <w:b/>
          <w:sz w:val="24"/>
          <w:szCs w:val="24"/>
        </w:rPr>
        <w:t xml:space="preserve"> </w:t>
      </w:r>
      <w:bookmarkStart w:id="2" w:name="_GoBack"/>
      <w:bookmarkEnd w:id="2"/>
      <w:r w:rsidRPr="00E37699">
        <w:rPr>
          <w:rFonts w:eastAsia="Calibri" w:cstheme="minorHAnsi"/>
          <w:b/>
          <w:sz w:val="24"/>
          <w:szCs w:val="24"/>
        </w:rPr>
        <w:t>2°</w:t>
      </w:r>
      <w:r w:rsidRPr="00E37699">
        <w:rPr>
          <w:rFonts w:eastAsia="Calibri" w:cstheme="minorHAnsi"/>
          <w:bCs/>
          <w:sz w:val="24"/>
          <w:szCs w:val="24"/>
        </w:rPr>
        <w:t>. Fica o Poder Executivo autorizado a suspender ou rescindir o convênio nos casos de descumprimento de quaisquer obrigações nele estabelecidas.</w:t>
      </w:r>
    </w:p>
    <w:p w:rsidR="00E37699" w:rsidRPr="00E37699" w:rsidRDefault="00E37699" w:rsidP="00E376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</w:p>
    <w:p w:rsidR="00E37699" w:rsidRPr="00E37699" w:rsidRDefault="00E37699" w:rsidP="00E376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Art. </w:t>
      </w:r>
      <w:r w:rsidRPr="00E37699">
        <w:rPr>
          <w:rFonts w:eastAsia="Calibri" w:cstheme="minorHAnsi"/>
          <w:b/>
          <w:sz w:val="24"/>
          <w:szCs w:val="24"/>
        </w:rPr>
        <w:t>3º</w:t>
      </w:r>
      <w:r w:rsidRPr="00E37699">
        <w:rPr>
          <w:rFonts w:eastAsia="Calibri" w:cstheme="minorHAnsi"/>
          <w:bCs/>
          <w:sz w:val="24"/>
          <w:szCs w:val="24"/>
        </w:rPr>
        <w:t>. As despesas decorrentes da execução desta Lei correrão à conta da dotação orçamentária n.º 02.10.02.08.243.2.005.2.035.3.3.50.41.00.01.00 - ficha 417 do orçamento vigente.</w:t>
      </w:r>
    </w:p>
    <w:p w:rsidR="00E37699" w:rsidRPr="00E37699" w:rsidRDefault="00E37699" w:rsidP="00E376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</w:p>
    <w:p w:rsidR="00E37699" w:rsidRPr="00E37699" w:rsidRDefault="00E37699" w:rsidP="00E376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E37699">
        <w:rPr>
          <w:rFonts w:eastAsia="Calibri" w:cstheme="minorHAnsi"/>
          <w:b/>
          <w:sz w:val="24"/>
          <w:szCs w:val="24"/>
        </w:rPr>
        <w:t>Art. 4º</w:t>
      </w:r>
      <w:r w:rsidRPr="00E37699">
        <w:rPr>
          <w:rFonts w:cstheme="minorHAnsi"/>
          <w:color w:val="000000"/>
          <w:sz w:val="24"/>
          <w:szCs w:val="24"/>
        </w:rPr>
        <w:t xml:space="preserve"> - Para consecução do previsto nos artigos anteriores, fica autorizado o Chefe do Poder Executivo Municipal a abrir crédito suplementar, no valor de </w:t>
      </w:r>
      <w:proofErr w:type="gramStart"/>
      <w:r w:rsidRPr="00E37699">
        <w:rPr>
          <w:rFonts w:cstheme="minorHAnsi"/>
          <w:color w:val="000000"/>
          <w:sz w:val="24"/>
          <w:szCs w:val="24"/>
        </w:rPr>
        <w:t>R$ 70.000,00 (Setenta mil reais) ao orçamento vigente, Lei</w:t>
      </w:r>
      <w:proofErr w:type="gramEnd"/>
      <w:r w:rsidRPr="00E37699">
        <w:rPr>
          <w:rFonts w:cstheme="minorHAnsi"/>
          <w:color w:val="000000"/>
          <w:sz w:val="24"/>
          <w:szCs w:val="24"/>
        </w:rPr>
        <w:t xml:space="preserve"> Municipal n° 1.565 de 15 de dezembro de 2021, na seguinte dotação orçamentária:</w:t>
      </w:r>
    </w:p>
    <w:p w:rsidR="00E37699" w:rsidRPr="00E37699" w:rsidRDefault="00E37699" w:rsidP="00E37699">
      <w:pPr>
        <w:spacing w:after="0" w:line="240" w:lineRule="auto"/>
        <w:ind w:firstLine="964"/>
        <w:rPr>
          <w:rFonts w:cstheme="minorHAnsi"/>
          <w:color w:val="000000"/>
          <w:sz w:val="24"/>
          <w:szCs w:val="24"/>
        </w:rPr>
      </w:pPr>
    </w:p>
    <w:tbl>
      <w:tblPr>
        <w:tblW w:w="8625" w:type="dxa"/>
        <w:jc w:val="center"/>
        <w:tblCellSpacing w:w="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71"/>
        <w:gridCol w:w="2054"/>
      </w:tblGrid>
      <w:tr w:rsidR="00E37699" w:rsidRPr="00E37699" w:rsidTr="00E37699">
        <w:trPr>
          <w:trHeight w:val="90"/>
          <w:tblCellSpacing w:w="0" w:type="dxa"/>
          <w:jc w:val="center"/>
        </w:trPr>
        <w:tc>
          <w:tcPr>
            <w:tcW w:w="657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37699" w:rsidRPr="00E37699" w:rsidRDefault="00E37699" w:rsidP="00E37699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E37699">
              <w:rPr>
                <w:rFonts w:cstheme="minorHAnsi"/>
                <w:color w:val="000000"/>
                <w:sz w:val="24"/>
                <w:szCs w:val="24"/>
              </w:rPr>
              <w:t>Dotação</w:t>
            </w:r>
          </w:p>
        </w:tc>
        <w:tc>
          <w:tcPr>
            <w:tcW w:w="2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699" w:rsidRPr="00E37699" w:rsidRDefault="00E37699" w:rsidP="00E37699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E37699">
              <w:rPr>
                <w:rFonts w:cstheme="minorHAnsi"/>
                <w:color w:val="000000"/>
                <w:sz w:val="24"/>
                <w:szCs w:val="24"/>
              </w:rPr>
              <w:t>Valor</w:t>
            </w:r>
          </w:p>
        </w:tc>
      </w:tr>
      <w:tr w:rsidR="00E37699" w:rsidRPr="00E37699" w:rsidTr="00E37699">
        <w:trPr>
          <w:trHeight w:val="105"/>
          <w:tblCellSpacing w:w="0" w:type="dxa"/>
          <w:jc w:val="center"/>
        </w:trPr>
        <w:tc>
          <w:tcPr>
            <w:tcW w:w="657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37699" w:rsidRPr="00E37699" w:rsidRDefault="00E37699" w:rsidP="00E37699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E37699">
              <w:rPr>
                <w:rFonts w:eastAsia="Calibri" w:cstheme="minorHAnsi"/>
                <w:bCs/>
                <w:sz w:val="24"/>
                <w:szCs w:val="24"/>
              </w:rPr>
              <w:t>02.10.02.08.243.2.005.2.035.3.3.50.41.00.01.00 – ficha 417</w:t>
            </w:r>
          </w:p>
        </w:tc>
        <w:tc>
          <w:tcPr>
            <w:tcW w:w="2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699" w:rsidRPr="00E37699" w:rsidRDefault="00E37699" w:rsidP="00E37699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E37699">
              <w:rPr>
                <w:rFonts w:cstheme="minorHAnsi"/>
                <w:color w:val="000000"/>
                <w:sz w:val="24"/>
                <w:szCs w:val="24"/>
              </w:rPr>
              <w:t>70.000,00</w:t>
            </w:r>
          </w:p>
        </w:tc>
      </w:tr>
      <w:tr w:rsidR="00E37699" w:rsidRPr="00E37699" w:rsidTr="00E37699">
        <w:trPr>
          <w:trHeight w:val="90"/>
          <w:tblCellSpacing w:w="0" w:type="dxa"/>
          <w:jc w:val="center"/>
        </w:trPr>
        <w:tc>
          <w:tcPr>
            <w:tcW w:w="657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37699" w:rsidRPr="00E37699" w:rsidRDefault="00E37699" w:rsidP="00E37699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E37699">
              <w:rPr>
                <w:rFonts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699" w:rsidRPr="00E37699" w:rsidRDefault="00E37699" w:rsidP="00E37699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E37699">
              <w:rPr>
                <w:rFonts w:cstheme="minorHAnsi"/>
                <w:color w:val="000000"/>
                <w:sz w:val="24"/>
                <w:szCs w:val="24"/>
              </w:rPr>
              <w:t>70.000,00</w:t>
            </w:r>
          </w:p>
        </w:tc>
      </w:tr>
    </w:tbl>
    <w:p w:rsidR="00E37699" w:rsidRPr="00E37699" w:rsidRDefault="00E37699" w:rsidP="00E376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E37699" w:rsidRPr="00E37699" w:rsidRDefault="00E37699" w:rsidP="00E376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37699">
        <w:rPr>
          <w:rFonts w:cstheme="minorHAnsi"/>
          <w:b/>
          <w:sz w:val="24"/>
          <w:szCs w:val="24"/>
        </w:rPr>
        <w:t xml:space="preserve">Art. 5º. </w:t>
      </w:r>
      <w:r w:rsidRPr="00E37699">
        <w:rPr>
          <w:rFonts w:cstheme="minorHAnsi"/>
          <w:sz w:val="24"/>
          <w:szCs w:val="24"/>
        </w:rPr>
        <w:t>Os recursos necessários para execução do disposto no Art. 4º desta Lei serão provenientes da anulação total ou parcial das seguintes dotações, conforme determin</w:t>
      </w:r>
      <w:r w:rsidRPr="00E37699">
        <w:rPr>
          <w:rFonts w:cstheme="minorHAnsi"/>
          <w:sz w:val="24"/>
          <w:szCs w:val="24"/>
        </w:rPr>
        <w:t>a a Lei Federal n.º 4.320/1964:</w:t>
      </w:r>
    </w:p>
    <w:p w:rsidR="00E37699" w:rsidRPr="00E37699" w:rsidRDefault="00E37699" w:rsidP="00E376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</w:p>
    <w:tbl>
      <w:tblPr>
        <w:tblW w:w="8625" w:type="dxa"/>
        <w:jc w:val="center"/>
        <w:tblCellSpacing w:w="0" w:type="dxa"/>
        <w:tblInd w:w="7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71"/>
        <w:gridCol w:w="2054"/>
      </w:tblGrid>
      <w:tr w:rsidR="00E37699" w:rsidRPr="00E37699" w:rsidTr="00E37699">
        <w:trPr>
          <w:trHeight w:val="90"/>
          <w:tblCellSpacing w:w="0" w:type="dxa"/>
          <w:jc w:val="center"/>
        </w:trPr>
        <w:tc>
          <w:tcPr>
            <w:tcW w:w="657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37699" w:rsidRPr="00E37699" w:rsidRDefault="00E37699" w:rsidP="00E37699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E37699">
              <w:rPr>
                <w:rFonts w:cstheme="minorHAnsi"/>
                <w:color w:val="000000"/>
                <w:sz w:val="24"/>
                <w:szCs w:val="24"/>
              </w:rPr>
              <w:t>Dotação</w:t>
            </w:r>
          </w:p>
        </w:tc>
        <w:tc>
          <w:tcPr>
            <w:tcW w:w="2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699" w:rsidRPr="00E37699" w:rsidRDefault="00E37699" w:rsidP="00E37699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E37699">
              <w:rPr>
                <w:rFonts w:cstheme="minorHAnsi"/>
                <w:color w:val="000000"/>
                <w:sz w:val="24"/>
                <w:szCs w:val="24"/>
              </w:rPr>
              <w:t>Valor</w:t>
            </w:r>
          </w:p>
        </w:tc>
      </w:tr>
      <w:tr w:rsidR="00E37699" w:rsidRPr="00E37699" w:rsidTr="00E37699">
        <w:trPr>
          <w:trHeight w:val="90"/>
          <w:tblCellSpacing w:w="0" w:type="dxa"/>
          <w:jc w:val="center"/>
        </w:trPr>
        <w:tc>
          <w:tcPr>
            <w:tcW w:w="6571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37699" w:rsidRPr="00E37699" w:rsidRDefault="00E37699" w:rsidP="00E37699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E37699">
              <w:rPr>
                <w:rFonts w:cstheme="minorHAnsi"/>
                <w:color w:val="000000"/>
                <w:sz w:val="24"/>
                <w:szCs w:val="24"/>
              </w:rPr>
              <w:lastRenderedPageBreak/>
              <w:t>02.10.02.16.492.2010.1.014.4.4.90.51.00.0100 – ficha 444</w:t>
            </w:r>
          </w:p>
        </w:tc>
        <w:tc>
          <w:tcPr>
            <w:tcW w:w="2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699" w:rsidRPr="00E37699" w:rsidRDefault="00E37699" w:rsidP="00E37699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E37699">
              <w:rPr>
                <w:rFonts w:cstheme="minorHAnsi"/>
                <w:color w:val="000000"/>
                <w:sz w:val="24"/>
                <w:szCs w:val="24"/>
              </w:rPr>
              <w:t>10.000,00</w:t>
            </w:r>
          </w:p>
        </w:tc>
      </w:tr>
      <w:tr w:rsidR="00E37699" w:rsidRPr="00E37699" w:rsidTr="00E37699">
        <w:trPr>
          <w:trHeight w:val="105"/>
          <w:tblCellSpacing w:w="0" w:type="dxa"/>
          <w:jc w:val="center"/>
        </w:trPr>
        <w:tc>
          <w:tcPr>
            <w:tcW w:w="6571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37699" w:rsidRPr="00E37699" w:rsidRDefault="00E37699" w:rsidP="00E37699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E37699">
              <w:rPr>
                <w:rFonts w:cstheme="minorHAnsi"/>
                <w:color w:val="000000"/>
                <w:sz w:val="24"/>
                <w:szCs w:val="24"/>
              </w:rPr>
              <w:t>02.10.01.08.244.2005.2.036.3.1.90.11.00.0100 – ficha 392</w:t>
            </w:r>
          </w:p>
        </w:tc>
        <w:tc>
          <w:tcPr>
            <w:tcW w:w="2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699" w:rsidRPr="00E37699" w:rsidRDefault="00E37699" w:rsidP="00E37699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E37699">
              <w:rPr>
                <w:rFonts w:cstheme="minorHAnsi"/>
                <w:color w:val="000000"/>
                <w:sz w:val="24"/>
                <w:szCs w:val="24"/>
              </w:rPr>
              <w:t>60.000,00</w:t>
            </w:r>
          </w:p>
        </w:tc>
      </w:tr>
      <w:tr w:rsidR="00E37699" w:rsidRPr="00E37699" w:rsidTr="00E37699">
        <w:trPr>
          <w:trHeight w:val="90"/>
          <w:tblCellSpacing w:w="0" w:type="dxa"/>
          <w:jc w:val="center"/>
        </w:trPr>
        <w:tc>
          <w:tcPr>
            <w:tcW w:w="657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37699" w:rsidRPr="00E37699" w:rsidRDefault="00E37699" w:rsidP="00E37699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E37699">
              <w:rPr>
                <w:rFonts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699" w:rsidRPr="00E37699" w:rsidRDefault="00E37699" w:rsidP="00E37699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E37699">
              <w:rPr>
                <w:rFonts w:cstheme="minorHAnsi"/>
                <w:color w:val="000000"/>
                <w:sz w:val="24"/>
                <w:szCs w:val="24"/>
              </w:rPr>
              <w:t>70.000,00</w:t>
            </w:r>
          </w:p>
        </w:tc>
      </w:tr>
    </w:tbl>
    <w:p w:rsidR="00E37699" w:rsidRPr="00E37699" w:rsidRDefault="00E37699" w:rsidP="00E376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</w:p>
    <w:p w:rsidR="00E37699" w:rsidRPr="00E37699" w:rsidRDefault="00E37699" w:rsidP="00E376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E37699">
        <w:rPr>
          <w:rFonts w:eastAsia="Calibri" w:cstheme="minorHAnsi"/>
          <w:b/>
          <w:sz w:val="24"/>
          <w:szCs w:val="24"/>
        </w:rPr>
        <w:t>Art. 6º</w:t>
      </w:r>
      <w:r w:rsidRPr="00E37699">
        <w:rPr>
          <w:rFonts w:eastAsia="Calibri" w:cstheme="minorHAnsi"/>
          <w:bCs/>
          <w:sz w:val="24"/>
          <w:szCs w:val="24"/>
        </w:rPr>
        <w:t xml:space="preserve"> - Fica o Poder Executivo autorizado a renovar o convenio que trata a presente Lei, por sucessivos períodos previstos na legislação vigente, bem como conceder os reajustes previstos no termo de convênio.</w:t>
      </w:r>
    </w:p>
    <w:p w:rsidR="00E37699" w:rsidRPr="00E37699" w:rsidRDefault="00E37699" w:rsidP="00E376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</w:p>
    <w:p w:rsidR="00E37699" w:rsidRPr="00E37699" w:rsidRDefault="00E37699" w:rsidP="00E376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E37699">
        <w:rPr>
          <w:rFonts w:eastAsia="Calibri" w:cstheme="minorHAnsi"/>
          <w:b/>
          <w:bCs/>
          <w:sz w:val="24"/>
          <w:szCs w:val="24"/>
        </w:rPr>
        <w:t>A</w:t>
      </w:r>
      <w:r w:rsidRPr="00E37699">
        <w:rPr>
          <w:rFonts w:eastAsia="Calibri" w:cstheme="minorHAnsi"/>
          <w:b/>
          <w:sz w:val="24"/>
          <w:szCs w:val="24"/>
        </w:rPr>
        <w:t>rt. 7°.</w:t>
      </w:r>
      <w:r w:rsidRPr="00E37699">
        <w:rPr>
          <w:rFonts w:eastAsia="Calibri" w:cstheme="minorHAnsi"/>
          <w:bCs/>
          <w:sz w:val="24"/>
          <w:szCs w:val="24"/>
        </w:rPr>
        <w:t xml:space="preserve"> A presente Lei entrará em vigor na data de sua publicação, retroagindo seus efeitos </w:t>
      </w:r>
      <w:proofErr w:type="gramStart"/>
      <w:r w:rsidRPr="00E37699">
        <w:rPr>
          <w:rFonts w:eastAsia="Calibri" w:cstheme="minorHAnsi"/>
          <w:bCs/>
          <w:sz w:val="24"/>
          <w:szCs w:val="24"/>
        </w:rPr>
        <w:t>à</w:t>
      </w:r>
      <w:proofErr w:type="gramEnd"/>
      <w:r w:rsidRPr="00E37699">
        <w:rPr>
          <w:rFonts w:eastAsia="Calibri" w:cstheme="minorHAnsi"/>
          <w:bCs/>
          <w:sz w:val="24"/>
          <w:szCs w:val="24"/>
        </w:rPr>
        <w:t xml:space="preserve"> 01 de setembro de 2022.</w:t>
      </w:r>
    </w:p>
    <w:p w:rsidR="00B128BB" w:rsidRPr="00E37699" w:rsidRDefault="00B128BB" w:rsidP="00E376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E37699" w:rsidRDefault="006D2234" w:rsidP="00E376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37699">
        <w:rPr>
          <w:rFonts w:cstheme="minorHAnsi"/>
          <w:sz w:val="24"/>
          <w:szCs w:val="24"/>
        </w:rPr>
        <w:t xml:space="preserve">Sala das Sessões, </w:t>
      </w:r>
      <w:r w:rsidR="003C5DCA" w:rsidRPr="00E37699">
        <w:rPr>
          <w:rFonts w:cstheme="minorHAnsi"/>
          <w:sz w:val="24"/>
          <w:szCs w:val="24"/>
        </w:rPr>
        <w:t>29</w:t>
      </w:r>
      <w:r w:rsidR="00B7233F" w:rsidRPr="00E37699">
        <w:rPr>
          <w:rFonts w:cstheme="minorHAnsi"/>
          <w:sz w:val="24"/>
          <w:szCs w:val="24"/>
        </w:rPr>
        <w:t xml:space="preserve"> de </w:t>
      </w:r>
      <w:r w:rsidR="003C5DCA" w:rsidRPr="00E37699">
        <w:rPr>
          <w:rFonts w:cstheme="minorHAnsi"/>
          <w:sz w:val="24"/>
          <w:szCs w:val="24"/>
        </w:rPr>
        <w:t>setembro</w:t>
      </w:r>
      <w:r w:rsidR="00B7233F" w:rsidRPr="00E37699">
        <w:rPr>
          <w:rFonts w:cstheme="minorHAnsi"/>
          <w:sz w:val="24"/>
          <w:szCs w:val="24"/>
        </w:rPr>
        <w:t xml:space="preserve"> de 2022.</w:t>
      </w:r>
    </w:p>
    <w:p w:rsidR="0057521F" w:rsidRPr="00E37699" w:rsidRDefault="0057521F" w:rsidP="00E376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B7233F" w:rsidRPr="00E37699" w:rsidRDefault="00B7233F" w:rsidP="00E37699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E37699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E37699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B7233F" w:rsidRPr="00E37699" w:rsidRDefault="00B7233F" w:rsidP="00E3769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E37699" w:rsidRDefault="00B7233F" w:rsidP="00E3769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E37699" w:rsidRDefault="00B7233F" w:rsidP="00E37699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E37699">
        <w:rPr>
          <w:rFonts w:cstheme="minorHAnsi"/>
          <w:b/>
          <w:i/>
          <w:sz w:val="24"/>
          <w:szCs w:val="24"/>
        </w:rPr>
        <w:t>TONY SANDRO DE LIMA</w:t>
      </w:r>
    </w:p>
    <w:p w:rsidR="00B7233F" w:rsidRPr="00E37699" w:rsidRDefault="00B7233F" w:rsidP="00E3769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37699">
        <w:rPr>
          <w:rFonts w:cstheme="minorHAnsi"/>
          <w:sz w:val="24"/>
          <w:szCs w:val="24"/>
        </w:rPr>
        <w:t>Presidente da Comissão</w:t>
      </w:r>
    </w:p>
    <w:p w:rsidR="00B7233F" w:rsidRPr="00E37699" w:rsidRDefault="00B7233F" w:rsidP="00E3769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E37699" w:rsidRDefault="00B7233F" w:rsidP="00E37699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E37699">
        <w:rPr>
          <w:rFonts w:cstheme="minorHAnsi"/>
          <w:b/>
          <w:i/>
          <w:sz w:val="24"/>
          <w:szCs w:val="24"/>
        </w:rPr>
        <w:t>SINVALDO JOSÉ LOPES</w:t>
      </w:r>
    </w:p>
    <w:p w:rsidR="00B7233F" w:rsidRPr="00E37699" w:rsidRDefault="00B7233F" w:rsidP="00E3769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37699">
        <w:rPr>
          <w:rFonts w:cstheme="minorHAnsi"/>
          <w:sz w:val="24"/>
          <w:szCs w:val="24"/>
        </w:rPr>
        <w:t>Vice-Presidente</w:t>
      </w:r>
    </w:p>
    <w:p w:rsidR="00B7233F" w:rsidRPr="00E37699" w:rsidRDefault="00B7233F" w:rsidP="00E37699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B7233F" w:rsidRPr="00E37699" w:rsidRDefault="00B7233F" w:rsidP="00E37699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E37699">
        <w:rPr>
          <w:rFonts w:cstheme="minorHAnsi"/>
          <w:b/>
          <w:i/>
          <w:sz w:val="24"/>
          <w:szCs w:val="24"/>
        </w:rPr>
        <w:t>ALEXANDRE SABINO BRAGA</w:t>
      </w:r>
    </w:p>
    <w:p w:rsidR="00B7233F" w:rsidRPr="00E37699" w:rsidRDefault="00B7233F" w:rsidP="00E3769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37699">
        <w:rPr>
          <w:rFonts w:cstheme="minorHAnsi"/>
          <w:sz w:val="24"/>
          <w:szCs w:val="24"/>
        </w:rPr>
        <w:t>Membro</w:t>
      </w:r>
    </w:p>
    <w:sectPr w:rsidR="00B7233F" w:rsidRPr="00E37699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DD6" w:rsidRDefault="005A1DD6">
      <w:pPr>
        <w:spacing w:after="0" w:line="240" w:lineRule="auto"/>
      </w:pPr>
      <w:r>
        <w:separator/>
      </w:r>
    </w:p>
  </w:endnote>
  <w:endnote w:type="continuationSeparator" w:id="0">
    <w:p w:rsidR="005A1DD6" w:rsidRDefault="005A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DD6" w:rsidRDefault="005A1DD6">
      <w:pPr>
        <w:spacing w:after="0" w:line="240" w:lineRule="auto"/>
      </w:pPr>
      <w:r>
        <w:separator/>
      </w:r>
    </w:p>
  </w:footnote>
  <w:footnote w:type="continuationSeparator" w:id="0">
    <w:p w:rsidR="005A1DD6" w:rsidRDefault="005A1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4964F4A4" wp14:editId="410A1FBB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 xml:space="preserve">PABX: (35) 3434.1177 e 3434.1582 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www.camaraitapeva.mg.gov.br- e-mail: camara@camaraitapeva.mg.gov.br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034796"/>
    <w:multiLevelType w:val="hybridMultilevel"/>
    <w:tmpl w:val="29E813DE"/>
    <w:lvl w:ilvl="0" w:tplc="66B6E5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51319"/>
    <w:rsid w:val="000D39C4"/>
    <w:rsid w:val="001414A7"/>
    <w:rsid w:val="00154035"/>
    <w:rsid w:val="001872B4"/>
    <w:rsid w:val="001B3312"/>
    <w:rsid w:val="001E2344"/>
    <w:rsid w:val="001E496E"/>
    <w:rsid w:val="001E7A6F"/>
    <w:rsid w:val="00230F02"/>
    <w:rsid w:val="00262C04"/>
    <w:rsid w:val="00306D83"/>
    <w:rsid w:val="00323386"/>
    <w:rsid w:val="0034757B"/>
    <w:rsid w:val="00354E58"/>
    <w:rsid w:val="00364F7B"/>
    <w:rsid w:val="003C5DCA"/>
    <w:rsid w:val="00434D9B"/>
    <w:rsid w:val="00445E2F"/>
    <w:rsid w:val="00465879"/>
    <w:rsid w:val="004B7484"/>
    <w:rsid w:val="004C02D7"/>
    <w:rsid w:val="004C6019"/>
    <w:rsid w:val="004E4D1C"/>
    <w:rsid w:val="00514590"/>
    <w:rsid w:val="005155F6"/>
    <w:rsid w:val="0053643B"/>
    <w:rsid w:val="00536A1B"/>
    <w:rsid w:val="00556F3B"/>
    <w:rsid w:val="00573A3A"/>
    <w:rsid w:val="0057521F"/>
    <w:rsid w:val="005A0948"/>
    <w:rsid w:val="005A1DD6"/>
    <w:rsid w:val="0061046E"/>
    <w:rsid w:val="00631C39"/>
    <w:rsid w:val="00636B32"/>
    <w:rsid w:val="00646DA2"/>
    <w:rsid w:val="006D2234"/>
    <w:rsid w:val="007511AD"/>
    <w:rsid w:val="0076421E"/>
    <w:rsid w:val="007D2D6F"/>
    <w:rsid w:val="007F0C0E"/>
    <w:rsid w:val="00826D31"/>
    <w:rsid w:val="008A799C"/>
    <w:rsid w:val="00947970"/>
    <w:rsid w:val="00972A8B"/>
    <w:rsid w:val="00987E93"/>
    <w:rsid w:val="009967C7"/>
    <w:rsid w:val="009B5EBD"/>
    <w:rsid w:val="009C5AE2"/>
    <w:rsid w:val="00A04326"/>
    <w:rsid w:val="00A33087"/>
    <w:rsid w:val="00A35A6E"/>
    <w:rsid w:val="00A53F57"/>
    <w:rsid w:val="00B128BB"/>
    <w:rsid w:val="00B2193E"/>
    <w:rsid w:val="00B2591F"/>
    <w:rsid w:val="00B44E15"/>
    <w:rsid w:val="00B61390"/>
    <w:rsid w:val="00B7233F"/>
    <w:rsid w:val="00B7303F"/>
    <w:rsid w:val="00BA1F1D"/>
    <w:rsid w:val="00BC4AD5"/>
    <w:rsid w:val="00BE6D9F"/>
    <w:rsid w:val="00C76833"/>
    <w:rsid w:val="00CB52DA"/>
    <w:rsid w:val="00CE14AC"/>
    <w:rsid w:val="00D010DF"/>
    <w:rsid w:val="00D33DC4"/>
    <w:rsid w:val="00D5045C"/>
    <w:rsid w:val="00D74DC4"/>
    <w:rsid w:val="00DA3AE4"/>
    <w:rsid w:val="00DC3F30"/>
    <w:rsid w:val="00E37699"/>
    <w:rsid w:val="00E400FA"/>
    <w:rsid w:val="00E56684"/>
    <w:rsid w:val="00E869E5"/>
    <w:rsid w:val="00E939B4"/>
    <w:rsid w:val="00EA55D7"/>
    <w:rsid w:val="00EA7CA8"/>
    <w:rsid w:val="00EC0203"/>
    <w:rsid w:val="00F14BB6"/>
    <w:rsid w:val="00F94879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NormalWeb">
    <w:name w:val="Normal (Web)"/>
    <w:basedOn w:val="Normal"/>
    <w:rsid w:val="00C76833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NormalWeb">
    <w:name w:val="Normal (Web)"/>
    <w:basedOn w:val="Normal"/>
    <w:rsid w:val="00C76833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9BF3C-CF57-4A0F-BA1D-CFA22E982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2022-09-29T18:04:00Z</cp:lastPrinted>
  <dcterms:created xsi:type="dcterms:W3CDTF">2022-09-29T17:58:00Z</dcterms:created>
  <dcterms:modified xsi:type="dcterms:W3CDTF">2022-09-29T18:04:00Z</dcterms:modified>
</cp:coreProperties>
</file>