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062B18" w:rsidRDefault="00B7233F" w:rsidP="00062B18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062B18" w:rsidRDefault="006D2234" w:rsidP="00062B18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062B18">
        <w:rPr>
          <w:rFonts w:cstheme="minorHAnsi"/>
          <w:b/>
          <w:caps/>
          <w:sz w:val="24"/>
          <w:szCs w:val="24"/>
        </w:rPr>
        <w:t>REdação fina</w:t>
      </w:r>
      <w:r w:rsidR="00BA1F1D" w:rsidRPr="00062B18">
        <w:rPr>
          <w:rFonts w:cstheme="minorHAnsi"/>
          <w:b/>
          <w:caps/>
          <w:sz w:val="24"/>
          <w:szCs w:val="24"/>
        </w:rPr>
        <w:t xml:space="preserve">l do </w:t>
      </w:r>
      <w:r w:rsidR="00062B18" w:rsidRPr="00062B18">
        <w:rPr>
          <w:rFonts w:cstheme="minorHAnsi"/>
          <w:b/>
          <w:caps/>
          <w:sz w:val="24"/>
          <w:szCs w:val="24"/>
        </w:rPr>
        <w:t>projeto de lei ORDINÁRIA n.º 49</w:t>
      </w:r>
      <w:r w:rsidRPr="00062B18">
        <w:rPr>
          <w:rFonts w:cstheme="minorHAnsi"/>
          <w:b/>
          <w:caps/>
          <w:sz w:val="24"/>
          <w:szCs w:val="24"/>
        </w:rPr>
        <w:t>/202</w:t>
      </w:r>
      <w:r w:rsidR="003C5DCA" w:rsidRPr="00062B18">
        <w:rPr>
          <w:rFonts w:cstheme="minorHAnsi"/>
          <w:b/>
          <w:caps/>
          <w:sz w:val="24"/>
          <w:szCs w:val="24"/>
        </w:rPr>
        <w:t>2</w:t>
      </w:r>
    </w:p>
    <w:bookmarkEnd w:id="0"/>
    <w:bookmarkEnd w:id="1"/>
    <w:p w:rsidR="00354E58" w:rsidRPr="00062B18" w:rsidRDefault="00354E58" w:rsidP="00062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1134" w:right="119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bookmarkStart w:id="2" w:name="_GoBack"/>
      <w:r w:rsidRPr="00062B18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AUTORIZA O PODER EXECUTIVO A CONCEDER ISENÇÃO TRIBUTÁRIA ÀS EMPRESAS QUE ESPECIFICA E DÁ OUTRAS PROVIDÊNCIAS.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4536" w:right="119"/>
        <w:rPr>
          <w:rFonts w:asciiTheme="minorHAnsi" w:hAnsiTheme="minorHAnsi" w:cstheme="minorHAnsi"/>
          <w:bCs w:val="0"/>
          <w:iCs/>
          <w:sz w:val="24"/>
          <w:szCs w:val="24"/>
        </w:rPr>
      </w:pPr>
    </w:p>
    <w:bookmarkEnd w:id="2"/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  <w:r w:rsidRPr="00062B18">
        <w:rPr>
          <w:rFonts w:asciiTheme="minorHAnsi" w:hAnsiTheme="minorHAnsi" w:cstheme="minorHAnsi"/>
          <w:b w:val="0"/>
          <w:iCs/>
          <w:sz w:val="24"/>
          <w:szCs w:val="24"/>
        </w:rPr>
        <w:t xml:space="preserve">O Prefeito do Município de Itapeva, MG, Daniel Pereira do Couto, no uso de suas atribuições legais faz saber que a Câmara Municipal de Itapeva aprovou e ele sanciona a </w:t>
      </w:r>
      <w:proofErr w:type="gramStart"/>
      <w:r w:rsidRPr="00062B18">
        <w:rPr>
          <w:rFonts w:asciiTheme="minorHAnsi" w:hAnsiTheme="minorHAnsi" w:cstheme="minorHAnsi"/>
          <w:b w:val="0"/>
          <w:iCs/>
          <w:sz w:val="24"/>
          <w:szCs w:val="24"/>
        </w:rPr>
        <w:t>seguinte</w:t>
      </w:r>
      <w:proofErr w:type="gramEnd"/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jc w:val="center"/>
        <w:rPr>
          <w:rFonts w:asciiTheme="minorHAnsi" w:hAnsiTheme="minorHAnsi" w:cstheme="minorHAnsi"/>
          <w:bCs w:val="0"/>
          <w:iCs/>
          <w:sz w:val="24"/>
          <w:szCs w:val="24"/>
        </w:rPr>
      </w:pPr>
      <w:r w:rsidRPr="00062B18">
        <w:rPr>
          <w:rFonts w:asciiTheme="minorHAnsi" w:hAnsiTheme="minorHAnsi" w:cstheme="minorHAnsi"/>
          <w:bCs w:val="0"/>
          <w:iCs/>
          <w:sz w:val="24"/>
          <w:szCs w:val="24"/>
        </w:rPr>
        <w:t>LEI: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Cs w:val="0"/>
          <w:iCs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2B18">
        <w:rPr>
          <w:rFonts w:asciiTheme="minorHAnsi" w:hAnsiTheme="minorHAnsi" w:cstheme="minorHAnsi"/>
          <w:bCs w:val="0"/>
          <w:iCs/>
          <w:sz w:val="24"/>
          <w:szCs w:val="24"/>
        </w:rPr>
        <w:t xml:space="preserve">Art. 1˚ - </w:t>
      </w:r>
      <w:r w:rsidRPr="00062B18">
        <w:rPr>
          <w:rFonts w:asciiTheme="minorHAnsi" w:hAnsiTheme="minorHAnsi" w:cstheme="minorHAnsi"/>
          <w:b w:val="0"/>
          <w:iCs/>
          <w:sz w:val="24"/>
          <w:szCs w:val="24"/>
        </w:rPr>
        <w:t xml:space="preserve">Fica o Poder Executivo autorizado a conceder isenção a empresa </w:t>
      </w:r>
      <w:r w:rsidRPr="00062B18">
        <w:rPr>
          <w:rFonts w:asciiTheme="minorHAnsi" w:hAnsiTheme="minorHAnsi" w:cstheme="minorHAnsi"/>
          <w:sz w:val="24"/>
          <w:szCs w:val="24"/>
        </w:rPr>
        <w:t>ITAPEVA DESENVOLVIMENTO LOGÍSTICO LTDA.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inscrita no CNPJ n. 43.483.519/0001-80, com sede na </w:t>
      </w:r>
      <w:proofErr w:type="gramStart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>rua</w:t>
      </w:r>
      <w:proofErr w:type="gramEnd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Edu Valentim Vilaça, 25, 2º andar, sala 2, Centro – 37.655-000, Itapeva, MG, dos seguintes tributos: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2B18">
        <w:rPr>
          <w:rFonts w:asciiTheme="minorHAnsi" w:hAnsiTheme="minorHAnsi" w:cstheme="minorHAnsi"/>
          <w:bCs w:val="0"/>
          <w:sz w:val="24"/>
          <w:szCs w:val="24"/>
        </w:rPr>
        <w:t>I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Imposto Predial Territorial Urbano (IPTU), pelo prazo de até </w:t>
      </w:r>
      <w:proofErr w:type="gramStart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>5</w:t>
      </w:r>
      <w:proofErr w:type="gramEnd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(cinco) anos, lançado sobre o imóvel inscrito no cadastro municipal n. 1867-8, contados a partir da data da publicação desta lei;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2B18">
        <w:rPr>
          <w:rFonts w:asciiTheme="minorHAnsi" w:hAnsiTheme="minorHAnsi" w:cstheme="minorHAnsi"/>
          <w:bCs w:val="0"/>
          <w:sz w:val="24"/>
          <w:szCs w:val="24"/>
        </w:rPr>
        <w:t>II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- Imposto Predial Territorial Urbano (IPTU), pelo prazo de até </w:t>
      </w:r>
      <w:proofErr w:type="gramStart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>5</w:t>
      </w:r>
      <w:proofErr w:type="gramEnd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(cinco) anos, lançado sobre o imóvel inscrito no cadastro municipal n. 1867-8, contados a partir da data do lançamento da edificação realizada no imóvel.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Cs w:val="0"/>
          <w:iCs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</w:pPr>
      <w:r w:rsidRPr="00062B1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Art. 2˚</w:t>
      </w:r>
      <w:r w:rsidRPr="00062B18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  <w:t xml:space="preserve"> - Fica o Poder Executivo autorizado a conceder isenção do Imposto Sobre Serviço de Qualquer Natureza (ISSQN), itens 7.02 e 7.05 da lista de serviços da lei complementar n. 116/2003, incidente sobre a </w:t>
      </w:r>
      <w:r w:rsidRPr="00062B18">
        <w:rPr>
          <w:rStyle w:val="Forte"/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prestação de serviços decorrente da obra executada no imóvel 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inscrito no cadastro municipal n. 1867-8, projeto aprovado pelo processo administrativo n. 468/2021 da Secretaria Municipal de Obras, cuja propriedade da empresa ITAPEVA DESENVOLVIMENTO LOGÍSTICO LTDA, às seguintes </w:t>
      </w:r>
      <w:r w:rsidRPr="00062B18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  <w:t>empresas: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Style w:val="Forte"/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062B1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</w:t>
      </w:r>
      <w:r w:rsidRPr="00062B18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  <w:t xml:space="preserve"> – </w:t>
      </w:r>
      <w:r w:rsidRPr="00062B18">
        <w:rPr>
          <w:rStyle w:val="Forte"/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Construtora Fonseca &amp; Mercadante LTDA, inscrita no CNPJ n. 74.318.551/0001-34, estabelecida na Rua Dr. Fernandes Coelho, 64, 6˚ andar, Bairro Pinheiros, São Paulo, SP.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Style w:val="Forte"/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</w:pPr>
      <w:r w:rsidRPr="00062B18">
        <w:rPr>
          <w:rFonts w:asciiTheme="minorHAnsi" w:hAnsiTheme="minorHAnsi" w:cstheme="minorHAnsi"/>
          <w:bCs w:val="0"/>
          <w:sz w:val="24"/>
          <w:szCs w:val="24"/>
        </w:rPr>
        <w:t>II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</w:t>
      </w:r>
      <w:r w:rsidRPr="00062B18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  <w:t xml:space="preserve"> Schunck Terraplanagem e Transportes Ltda., inscrita no CNPJ n. 56.125.891/0001-67, com sede na Rodovia Anhanguera, 16082, km 16, Bairro Santa Fé, Osasco, SP.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2B18">
        <w:rPr>
          <w:rFonts w:asciiTheme="minorHAnsi" w:hAnsiTheme="minorHAnsi" w:cstheme="minorHAnsi"/>
          <w:iCs/>
          <w:sz w:val="24"/>
          <w:szCs w:val="24"/>
        </w:rPr>
        <w:t>Art. 3˚</w:t>
      </w:r>
      <w:r w:rsidRPr="00062B18">
        <w:rPr>
          <w:rFonts w:asciiTheme="minorHAnsi" w:hAnsiTheme="minorHAnsi" w:cstheme="minorHAnsi"/>
          <w:b w:val="0"/>
          <w:iCs/>
          <w:sz w:val="24"/>
          <w:szCs w:val="24"/>
        </w:rPr>
        <w:t xml:space="preserve"> - Como condicionante à concessão dos benefícios fiscais previstos nos artigos </w:t>
      </w:r>
      <w:proofErr w:type="gramStart"/>
      <w:r w:rsidRPr="00062B18">
        <w:rPr>
          <w:rFonts w:asciiTheme="minorHAnsi" w:hAnsiTheme="minorHAnsi" w:cstheme="minorHAnsi"/>
          <w:b w:val="0"/>
          <w:iCs/>
          <w:sz w:val="24"/>
          <w:szCs w:val="24"/>
        </w:rPr>
        <w:t>1</w:t>
      </w:r>
      <w:proofErr w:type="gramEnd"/>
      <w:r w:rsidRPr="00062B18">
        <w:rPr>
          <w:rFonts w:asciiTheme="minorHAnsi" w:hAnsiTheme="minorHAnsi" w:cstheme="minorHAnsi"/>
          <w:b w:val="0"/>
          <w:iCs/>
          <w:sz w:val="24"/>
          <w:szCs w:val="24"/>
        </w:rPr>
        <w:t xml:space="preserve">˚, 2˚ e 3˚, a empresa </w:t>
      </w:r>
      <w:r w:rsidRPr="00062B18">
        <w:rPr>
          <w:rFonts w:asciiTheme="minorHAnsi" w:hAnsiTheme="minorHAnsi" w:cstheme="minorHAnsi"/>
          <w:sz w:val="24"/>
          <w:szCs w:val="24"/>
        </w:rPr>
        <w:t>ITAPEVA DESENVOLVIMENTO LOGÍSTICO LTDA.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deverá efetuar o pagamento da quantia de R$ 150.000,00 (cento e cinquenta mil reais), à vista, em conta corrente do Município.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sz w:val="24"/>
          <w:szCs w:val="24"/>
        </w:rPr>
      </w:pPr>
      <w:r w:rsidRPr="00062B18">
        <w:rPr>
          <w:rFonts w:asciiTheme="minorHAnsi" w:hAnsiTheme="minorHAnsi" w:cstheme="minorHAnsi"/>
          <w:bCs w:val="0"/>
          <w:sz w:val="24"/>
          <w:szCs w:val="24"/>
        </w:rPr>
        <w:lastRenderedPageBreak/>
        <w:t>§ 1˚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- O pagamento do valor indicado no </w:t>
      </w:r>
      <w:r w:rsidRPr="00062B18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caput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deverá ocorrer no prazo de até 05 (cinco) dias, após a comunicação pelo Município acerca da aprovação do projeto executivo e memorial descritivo do sistema de monitoramento e </w:t>
      </w:r>
      <w:proofErr w:type="gramStart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>obterão</w:t>
      </w:r>
      <w:proofErr w:type="gramEnd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das licenças necessárias, na forma do item i, Cláusula 4.1. </w:t>
      </w:r>
      <w:proofErr w:type="gramStart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>do</w:t>
      </w:r>
      <w:proofErr w:type="gramEnd"/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062B18">
        <w:rPr>
          <w:rFonts w:asciiTheme="minorHAnsi" w:hAnsiTheme="minorHAnsi" w:cstheme="minorHAnsi"/>
          <w:b w:val="0"/>
          <w:iCs/>
          <w:sz w:val="24"/>
          <w:szCs w:val="24"/>
        </w:rPr>
        <w:t xml:space="preserve">Protocolo de Intenções assinado entre o Município e a empresa </w:t>
      </w:r>
      <w:r w:rsidRPr="00062B18">
        <w:rPr>
          <w:rFonts w:asciiTheme="minorHAnsi" w:hAnsiTheme="minorHAnsi" w:cstheme="minorHAnsi"/>
          <w:sz w:val="24"/>
          <w:szCs w:val="24"/>
        </w:rPr>
        <w:t xml:space="preserve">ITAPEVA DESENVOLVIMENTO LOGÍSTICO LTDA, </w:t>
      </w:r>
      <w:r w:rsidRPr="00062B18">
        <w:rPr>
          <w:rFonts w:asciiTheme="minorHAnsi" w:hAnsiTheme="minorHAnsi" w:cstheme="minorHAnsi"/>
          <w:b w:val="0"/>
          <w:sz w:val="24"/>
          <w:szCs w:val="24"/>
        </w:rPr>
        <w:t>que faz parte integrante desta Lei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062B18">
        <w:rPr>
          <w:rFonts w:asciiTheme="minorHAnsi" w:hAnsiTheme="minorHAnsi" w:cstheme="minorHAnsi"/>
          <w:bCs w:val="0"/>
          <w:sz w:val="24"/>
          <w:szCs w:val="24"/>
        </w:rPr>
        <w:t>§ 2˚</w:t>
      </w:r>
      <w:r w:rsidRPr="00062B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- Após a realização do pagamento, a empresa deverá enviar, no prazo de até 05 (cinco) dias, o comprovante do pagamento.</w:t>
      </w:r>
    </w:p>
    <w:p w:rsidR="00062B18" w:rsidRPr="00062B18" w:rsidRDefault="00062B18" w:rsidP="00062B18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062B18" w:rsidRPr="00062B18" w:rsidRDefault="00062B18" w:rsidP="00062B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062B18">
        <w:rPr>
          <w:rFonts w:ascii="Calibri" w:hAnsi="Calibri"/>
          <w:b/>
          <w:sz w:val="24"/>
          <w:szCs w:val="24"/>
        </w:rPr>
        <w:t xml:space="preserve">Art. 4º. </w:t>
      </w:r>
      <w:r w:rsidRPr="00062B18">
        <w:rPr>
          <w:rFonts w:ascii="Calibri" w:hAnsi="Calibri"/>
          <w:sz w:val="24"/>
          <w:szCs w:val="24"/>
        </w:rPr>
        <w:t xml:space="preserve">Esta lei entra em vigor na data de sua publicação, retroagindo seus efeitos </w:t>
      </w:r>
      <w:proofErr w:type="gramStart"/>
      <w:r w:rsidRPr="00062B18">
        <w:rPr>
          <w:rFonts w:ascii="Calibri" w:hAnsi="Calibri"/>
          <w:sz w:val="24"/>
          <w:szCs w:val="24"/>
        </w:rPr>
        <w:t>à</w:t>
      </w:r>
      <w:proofErr w:type="gramEnd"/>
      <w:r w:rsidRPr="00062B18">
        <w:rPr>
          <w:rFonts w:ascii="Calibri" w:hAnsi="Calibri"/>
          <w:sz w:val="24"/>
          <w:szCs w:val="24"/>
        </w:rPr>
        <w:t xml:space="preserve"> 06 de outubro de 2022</w:t>
      </w:r>
      <w:r>
        <w:rPr>
          <w:rFonts w:ascii="Calibri" w:hAnsi="Calibri"/>
          <w:sz w:val="24"/>
          <w:szCs w:val="24"/>
        </w:rPr>
        <w:t>.</w:t>
      </w:r>
    </w:p>
    <w:p w:rsidR="00062B18" w:rsidRPr="00062B18" w:rsidRDefault="00062B18" w:rsidP="00062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062B18" w:rsidRDefault="006D2234" w:rsidP="00062B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62B18">
        <w:rPr>
          <w:rFonts w:cstheme="minorHAnsi"/>
          <w:sz w:val="24"/>
          <w:szCs w:val="24"/>
        </w:rPr>
        <w:t xml:space="preserve">Sala das Sessões, </w:t>
      </w:r>
      <w:r w:rsidR="00062B18" w:rsidRPr="00062B18">
        <w:rPr>
          <w:rFonts w:cstheme="minorHAnsi"/>
          <w:sz w:val="24"/>
          <w:szCs w:val="24"/>
        </w:rPr>
        <w:t>08</w:t>
      </w:r>
      <w:r w:rsidR="00D0662A" w:rsidRPr="00062B18">
        <w:rPr>
          <w:rFonts w:cstheme="minorHAnsi"/>
          <w:sz w:val="24"/>
          <w:szCs w:val="24"/>
        </w:rPr>
        <w:t xml:space="preserve"> de novembro de 2022.</w:t>
      </w:r>
    </w:p>
    <w:p w:rsidR="0057521F" w:rsidRDefault="0057521F" w:rsidP="00062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62B18" w:rsidRPr="00062B18" w:rsidRDefault="00062B18" w:rsidP="00062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062B18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062B18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062B18">
        <w:rPr>
          <w:rFonts w:cstheme="minorHAnsi"/>
          <w:b/>
          <w:i/>
          <w:sz w:val="24"/>
          <w:szCs w:val="24"/>
        </w:rPr>
        <w:t>TONY SANDRO DE LIMA</w:t>
      </w: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62B18">
        <w:rPr>
          <w:rFonts w:cstheme="minorHAnsi"/>
          <w:sz w:val="24"/>
          <w:szCs w:val="24"/>
        </w:rPr>
        <w:t>Presidente da Comissão</w:t>
      </w: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062B18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62B18">
        <w:rPr>
          <w:rFonts w:cstheme="minorHAnsi"/>
          <w:sz w:val="24"/>
          <w:szCs w:val="24"/>
        </w:rPr>
        <w:t>Vice-Presidente</w:t>
      </w: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062B18">
        <w:rPr>
          <w:rFonts w:cstheme="minorHAnsi"/>
          <w:b/>
          <w:i/>
          <w:sz w:val="24"/>
          <w:szCs w:val="24"/>
        </w:rPr>
        <w:t>ALEXANDRE SABINO BRAGA</w:t>
      </w:r>
    </w:p>
    <w:p w:rsidR="00B7233F" w:rsidRPr="00062B18" w:rsidRDefault="00B7233F" w:rsidP="00062B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62B18">
        <w:rPr>
          <w:rFonts w:cstheme="minorHAnsi"/>
          <w:sz w:val="24"/>
          <w:szCs w:val="24"/>
        </w:rPr>
        <w:t>Membro</w:t>
      </w:r>
    </w:p>
    <w:sectPr w:rsidR="00B7233F" w:rsidRPr="00062B18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B4" w:rsidRDefault="00E17CB4">
      <w:pPr>
        <w:spacing w:after="0" w:line="240" w:lineRule="auto"/>
      </w:pPr>
      <w:r>
        <w:separator/>
      </w:r>
    </w:p>
  </w:endnote>
  <w:endnote w:type="continuationSeparator" w:id="0">
    <w:p w:rsidR="00E17CB4" w:rsidRDefault="00E1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B4" w:rsidRDefault="00E17CB4">
      <w:pPr>
        <w:spacing w:after="0" w:line="240" w:lineRule="auto"/>
      </w:pPr>
      <w:r>
        <w:separator/>
      </w:r>
    </w:p>
  </w:footnote>
  <w:footnote w:type="continuationSeparator" w:id="0">
    <w:p w:rsidR="00E17CB4" w:rsidRDefault="00E1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62B18"/>
    <w:rsid w:val="000D39C4"/>
    <w:rsid w:val="001414A7"/>
    <w:rsid w:val="00154035"/>
    <w:rsid w:val="001772E8"/>
    <w:rsid w:val="001872B4"/>
    <w:rsid w:val="001B3312"/>
    <w:rsid w:val="001E2344"/>
    <w:rsid w:val="001E496E"/>
    <w:rsid w:val="001E7A6F"/>
    <w:rsid w:val="00230F02"/>
    <w:rsid w:val="00323386"/>
    <w:rsid w:val="0034757B"/>
    <w:rsid w:val="00354E58"/>
    <w:rsid w:val="00364F7B"/>
    <w:rsid w:val="003C5DCA"/>
    <w:rsid w:val="00434D9B"/>
    <w:rsid w:val="00445E2F"/>
    <w:rsid w:val="00465879"/>
    <w:rsid w:val="004B7484"/>
    <w:rsid w:val="004C02D7"/>
    <w:rsid w:val="004C6019"/>
    <w:rsid w:val="004E4D1C"/>
    <w:rsid w:val="00514590"/>
    <w:rsid w:val="005155F6"/>
    <w:rsid w:val="0053643B"/>
    <w:rsid w:val="00536A1B"/>
    <w:rsid w:val="00556F3B"/>
    <w:rsid w:val="00573A3A"/>
    <w:rsid w:val="0057521F"/>
    <w:rsid w:val="005A0948"/>
    <w:rsid w:val="0061046E"/>
    <w:rsid w:val="00631C39"/>
    <w:rsid w:val="00646DA2"/>
    <w:rsid w:val="006D2234"/>
    <w:rsid w:val="007511AD"/>
    <w:rsid w:val="0076421E"/>
    <w:rsid w:val="007D2D6F"/>
    <w:rsid w:val="007F0C0E"/>
    <w:rsid w:val="00826D31"/>
    <w:rsid w:val="008A799C"/>
    <w:rsid w:val="00947970"/>
    <w:rsid w:val="00972A8B"/>
    <w:rsid w:val="00987E93"/>
    <w:rsid w:val="009967C7"/>
    <w:rsid w:val="009B5EBD"/>
    <w:rsid w:val="009C5AE2"/>
    <w:rsid w:val="00A04326"/>
    <w:rsid w:val="00A33087"/>
    <w:rsid w:val="00A35A6E"/>
    <w:rsid w:val="00A53F57"/>
    <w:rsid w:val="00B2193E"/>
    <w:rsid w:val="00B2591F"/>
    <w:rsid w:val="00B7233F"/>
    <w:rsid w:val="00B7303F"/>
    <w:rsid w:val="00B87A19"/>
    <w:rsid w:val="00BA1F1D"/>
    <w:rsid w:val="00BC4AD5"/>
    <w:rsid w:val="00BE6D9F"/>
    <w:rsid w:val="00C75085"/>
    <w:rsid w:val="00C76833"/>
    <w:rsid w:val="00CB52DA"/>
    <w:rsid w:val="00CE14AC"/>
    <w:rsid w:val="00D010DF"/>
    <w:rsid w:val="00D0662A"/>
    <w:rsid w:val="00D140F5"/>
    <w:rsid w:val="00D33DC4"/>
    <w:rsid w:val="00D5045C"/>
    <w:rsid w:val="00D74DC4"/>
    <w:rsid w:val="00DA3AE4"/>
    <w:rsid w:val="00DC3F30"/>
    <w:rsid w:val="00E12F82"/>
    <w:rsid w:val="00E17CB4"/>
    <w:rsid w:val="00E400FA"/>
    <w:rsid w:val="00E56684"/>
    <w:rsid w:val="00E939B4"/>
    <w:rsid w:val="00EA55D7"/>
    <w:rsid w:val="00EA7CA8"/>
    <w:rsid w:val="00EC0203"/>
    <w:rsid w:val="00F14BB6"/>
    <w:rsid w:val="00F94879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062B18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62B18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basedOn w:val="Fontepargpadro"/>
    <w:uiPriority w:val="22"/>
    <w:qFormat/>
    <w:rsid w:val="00062B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NormalWeb">
    <w:name w:val="Normal (Web)"/>
    <w:basedOn w:val="Normal"/>
    <w:rsid w:val="00C7683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062B18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62B18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basedOn w:val="Fontepargpadro"/>
    <w:uiPriority w:val="22"/>
    <w:qFormat/>
    <w:rsid w:val="00062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D616-F6B7-4D2E-81B1-E4761D24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2022-11-09T15:27:00Z</cp:lastPrinted>
  <dcterms:created xsi:type="dcterms:W3CDTF">2022-11-09T15:21:00Z</dcterms:created>
  <dcterms:modified xsi:type="dcterms:W3CDTF">2022-11-09T15:27:00Z</dcterms:modified>
</cp:coreProperties>
</file>