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25E" w:rsidRDefault="0002025E" w:rsidP="0002025E">
      <w:pP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N°______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left="3969" w:hang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>"ESTIMA A RECEITA E FIXA A DESPESA DO MUNICÍPIO DE ITAPEVA/MG PARA O EXERCÍCIO FINANCEIRO DE 2024"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O POVO DO MUNÍCIPIO DE ITAPEVA – MG, POR SEUS REPRESENTANTES LEGAIS APROVOU, E EU, PREFEITO MUNICIPAL, SANCIONO E PROMULGO A SEGUINTE LEI: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Art.1º. Esta Lei estima a receita do Município ITAPEVA/MG para o exercício financeiro de 2024, no montante R$84.553.126,00 ( Oitenta e </w:t>
      </w:r>
      <w:r>
        <w:rPr>
          <w:sz w:val="24"/>
          <w:szCs w:val="24"/>
        </w:rPr>
        <w:tab/>
        <w:t>quatro milhões, quinhentos e cinquenta e três mil, cento e vinte e seis reais) e fixa a despesa em igual valor, nos termos do art. 165, § 5º, da Constituição Federal e com base no disposto na Lei Municipal nº 1.635 , de 13 de Julho de 2023 (LDO para o exercício financeiro de 2024), compreendendo o Orçamento Fiscal e da Seguridade Social, referente aos Poderes Executivo e Legislativo do Município.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Parágrafo único. Integram a presente Lei os seguintes quadros: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 - Quadro I - Receita orçamentária por categoria e fonte;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 - Quadro II - Despesa orçamentária por funções de governo;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III - Quadro III - Despesa orçamentária por órgãos e unidades orçamentárias;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IV - Quadro IV - Resumo das receitas e despesas por órgãos;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V - Quadro V - Resumo das transferências financeiras.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Art. 2º. Fica o Poder Executivo autorizado a:</w:t>
      </w:r>
    </w:p>
    <w:p w:rsidR="0002025E" w:rsidRDefault="0002025E" w:rsidP="0002025E">
      <w:pPr>
        <w:spacing w:line="360" w:lineRule="auto"/>
        <w:ind w:hanging="2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abrir</w:t>
      </w:r>
      <w:proofErr w:type="gramEnd"/>
      <w:r>
        <w:rPr>
          <w:sz w:val="24"/>
          <w:szCs w:val="24"/>
        </w:rPr>
        <w:t xml:space="preserve"> créditos adicionais suplementares até o limite de 29 % (vinte e nove por cento) da Despesa Total Fixada no Orçamento do Município, nos termos previstos no inciso I do art. 7º e §1º do art. 43, da Lei Federal n° 4.320, de 17 de março de 1964;</w:t>
      </w:r>
    </w:p>
    <w:p w:rsidR="0002025E" w:rsidRDefault="0002025E" w:rsidP="0002025E">
      <w:pPr>
        <w:spacing w:line="360" w:lineRule="auto"/>
        <w:ind w:hanging="2"/>
        <w:jc w:val="both"/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- </w:t>
      </w:r>
      <w:proofErr w:type="gramStart"/>
      <w:r>
        <w:rPr>
          <w:sz w:val="24"/>
          <w:szCs w:val="24"/>
        </w:rPr>
        <w:t>efetuar</w:t>
      </w:r>
      <w:proofErr w:type="gramEnd"/>
      <w:r>
        <w:rPr>
          <w:sz w:val="24"/>
          <w:szCs w:val="24"/>
        </w:rPr>
        <w:t xml:space="preserve"> operações de crédito, inclusive as operações de crédito por antecipação de receita – ARO, obedecidos os dispositivos contidos no art. 32 e 38 da Lei Complementar nº 101, de 4 de maio de 2000, nos termos do §8º do art. 165 da Constituição Federal.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§1º. Poderá o Chefe do Poder Executivo Municipal criar, quando for o caso, novas naturezas de despesas, em categoria de programação já existente.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§2º – Ficam excluídas do limite estabelecido no inciso I, as suplementações realizadas por superávit financeiro apurado no balanço patrimonial do exercício de 2023 e o excesso de arrecadação apurado durante o exercício de 2024, podendo ser utilizados até o limite de 100% da sua apuração/efetivação.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3°. Os Recursos da Reserva de Contingência poderão ser destinados à abertura de créditos adicionais.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4º. Acompanharão a presente Lei os anexos exigidos pela legislação vigente.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Art. 5º. Esta Lei entra em vigor em 01 de janeiro de 2024, revogando-se as disposições em contrário.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Itapeva/MG, 27 de </w:t>
      </w:r>
      <w:proofErr w:type="gramStart"/>
      <w:r>
        <w:rPr>
          <w:sz w:val="24"/>
          <w:szCs w:val="24"/>
        </w:rPr>
        <w:t>Setembro</w:t>
      </w:r>
      <w:proofErr w:type="gramEnd"/>
      <w:r>
        <w:rPr>
          <w:sz w:val="24"/>
          <w:szCs w:val="24"/>
        </w:rPr>
        <w:t xml:space="preserve"> de 2023.</w:t>
      </w: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DANIEL PEREIRA DO COUTO</w:t>
      </w: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02025E" w:rsidRDefault="0002025E" w:rsidP="0002025E">
      <w:pPr>
        <w:ind w:hanging="2"/>
      </w:pPr>
    </w:p>
    <w:p w:rsidR="0002025E" w:rsidRDefault="0002025E" w:rsidP="0002025E">
      <w:pPr>
        <w:jc w:val="center"/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MENSAGEM 001/2023</w:t>
      </w: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Submeto a elevada apreciação dessa Egrégia Câmara Municipal o Projeto de Lei que “Estima a Receita e Fixa a Despesa do Município de Itapeva para o exercício financeiro de 2024”, em cumprimento à Constituição da República Federativa do Brasil, Constituição do Estado de Minas Gerais, Lei Orgânica Municipal, Lei Federal nº 4.320, de 17 de março de 1964 e a Lei Complementar Federal nº 101, de 4 de maio de 2000.</w:t>
      </w: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 acordo com o artigo 165 da Constituição Federal, destacamos: “Leis de iniciativa do Poder Executivo estabelecerão: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 - O plano plurianual;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 - As diretrizes orçamentárias;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III - Os orçamentos anuais”.</w:t>
      </w: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Artigo 2º da Lei 4.320/64, “A Lei de Orçamento conterá a discriminação da receita e despesa de forma a evidenciar a política econômico-financeira e o programa de trabalho do Governo, obedecidos os princípios de unidade, universalidade e anualidade”.</w:t>
      </w: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compasso, a proposta orçamentária do Município foi elaborada de acordo com as regras constitucionais e legais, em perfeito seguimento ao planejamento contido no Plano Plurianual 2022-2025 e na Lei de Diretrizes Orçamentárias de 2024.</w:t>
      </w: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Projeto da Lei Orçamentária para o exercício financeiro de 2024 contém: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•Previsão da receita e fixação da despesa;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•Fontes da receita pública;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•Destinações dos recursos orçamentários aos órgãos de Governo Municipal;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•Autorização para abertura de créditos suplementares, bem como para contratação de operações de crédito, inclusive operações de crédito por antecipação de receita - ARO.</w:t>
      </w:r>
    </w:p>
    <w:p w:rsidR="0002025E" w:rsidRDefault="0002025E" w:rsidP="0002025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Diante da relevância da matéria em questão para o planejamento municipal, rogamos aos Nobres Vereadores a apreciação e aprovação do Projeto de Lei Orçamentária para o exercício financeiro de 2024.</w:t>
      </w: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Cordialmente.</w:t>
      </w: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Itapeva, 27 de setembro de 2023.</w:t>
      </w: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right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both"/>
        <w:rPr>
          <w:sz w:val="24"/>
          <w:szCs w:val="24"/>
        </w:rPr>
      </w:pP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DANIEL PEREIRA DO COUTO</w:t>
      </w:r>
    </w:p>
    <w:p w:rsidR="0002025E" w:rsidRDefault="0002025E" w:rsidP="0002025E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91245A" w:rsidRDefault="0091245A"/>
    <w:sectPr w:rsidR="0091245A">
      <w:headerReference w:type="default" r:id="rId4"/>
      <w:footerReference w:type="default" r:id="rId5"/>
      <w:pgSz w:w="11906" w:h="16838"/>
      <w:pgMar w:top="1417" w:right="1701" w:bottom="1079" w:left="1701" w:header="0" w:footer="26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4C2" w:rsidRDefault="0002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  <w:r>
      <w:rPr>
        <w:rFonts w:ascii="Arial Black" w:eastAsia="Arial Black" w:hAnsi="Arial Black" w:cs="Arial Black"/>
        <w:color w:val="F4B083"/>
        <w:sz w:val="16"/>
        <w:szCs w:val="16"/>
      </w:rPr>
      <w:t>Rua Ulisses Escobar, 30 – Centro – 37655-000 – Itapeva – Minas Gerais – (35) 3434 1354     99846-0282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54F318" wp14:editId="56FED20F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0015" cy="120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B24C2" w:rsidRDefault="0002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003300"/>
        <w:sz w:val="16"/>
        <w:szCs w:val="16"/>
      </w:rPr>
    </w:pPr>
    <w:hyperlink r:id="rId2">
      <w:r>
        <w:rPr>
          <w:rFonts w:ascii="Arial Black" w:eastAsia="Arial Black" w:hAnsi="Arial Black" w:cs="Arial Black"/>
          <w:color w:val="0000FF"/>
          <w:sz w:val="16"/>
          <w:szCs w:val="16"/>
          <w:u w:val="single"/>
        </w:rPr>
        <w:t>chefedegabinete@itapeva.mg.gov.br</w:t>
      </w:r>
    </w:hyperlink>
    <w:r>
      <w:rPr>
        <w:rFonts w:ascii="Arial Black" w:eastAsia="Arial Black" w:hAnsi="Arial Black" w:cs="Arial Black"/>
        <w:color w:val="003300"/>
        <w:sz w:val="16"/>
        <w:szCs w:val="16"/>
      </w:rPr>
      <w:t xml:space="preserve"> </w:t>
    </w:r>
  </w:p>
  <w:p w:rsidR="003B24C2" w:rsidRDefault="0002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4C2" w:rsidRDefault="0002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</w:p>
  <w:p w:rsidR="003B24C2" w:rsidRDefault="000205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Calibri" w:eastAsia="Calibri" w:hAnsi="Calibri" w:cs="Calibri"/>
        <w:color w:val="000000"/>
      </w:rPr>
    </w:pPr>
    <w:r>
      <w:rPr>
        <w:noProof/>
        <w:color w:val="000000"/>
      </w:rPr>
      <w:drawing>
        <wp:inline distT="0" distB="0" distL="114300" distR="114300" wp14:anchorId="73E25826" wp14:editId="4D5C9F38">
          <wp:extent cx="2390140" cy="8763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14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5E"/>
    <w:rsid w:val="00001ED6"/>
    <w:rsid w:val="00006C59"/>
    <w:rsid w:val="0002025E"/>
    <w:rsid w:val="00031095"/>
    <w:rsid w:val="000442FC"/>
    <w:rsid w:val="0004540E"/>
    <w:rsid w:val="000563C9"/>
    <w:rsid w:val="000709A1"/>
    <w:rsid w:val="00072536"/>
    <w:rsid w:val="000815E9"/>
    <w:rsid w:val="0008479C"/>
    <w:rsid w:val="00090A5F"/>
    <w:rsid w:val="000A4276"/>
    <w:rsid w:val="000B77C7"/>
    <w:rsid w:val="000D2044"/>
    <w:rsid w:val="000D6C4E"/>
    <w:rsid w:val="001044C4"/>
    <w:rsid w:val="0012720A"/>
    <w:rsid w:val="001374C6"/>
    <w:rsid w:val="00143903"/>
    <w:rsid w:val="0018221F"/>
    <w:rsid w:val="001829F6"/>
    <w:rsid w:val="001A716B"/>
    <w:rsid w:val="001B4BE9"/>
    <w:rsid w:val="001B6285"/>
    <w:rsid w:val="001C12AA"/>
    <w:rsid w:val="001D2DC3"/>
    <w:rsid w:val="001E0FF8"/>
    <w:rsid w:val="001F44E1"/>
    <w:rsid w:val="002077DC"/>
    <w:rsid w:val="00207C72"/>
    <w:rsid w:val="00223664"/>
    <w:rsid w:val="00231720"/>
    <w:rsid w:val="002351CE"/>
    <w:rsid w:val="00247CAA"/>
    <w:rsid w:val="00256163"/>
    <w:rsid w:val="00261CD9"/>
    <w:rsid w:val="00275B9F"/>
    <w:rsid w:val="00282621"/>
    <w:rsid w:val="002B2D3F"/>
    <w:rsid w:val="002C00D7"/>
    <w:rsid w:val="002C1B19"/>
    <w:rsid w:val="002C4F7A"/>
    <w:rsid w:val="002C4FC3"/>
    <w:rsid w:val="002C7586"/>
    <w:rsid w:val="002D2AE9"/>
    <w:rsid w:val="003013A0"/>
    <w:rsid w:val="00327ACD"/>
    <w:rsid w:val="00332DBE"/>
    <w:rsid w:val="00352401"/>
    <w:rsid w:val="00371FC9"/>
    <w:rsid w:val="003A357D"/>
    <w:rsid w:val="003B4A45"/>
    <w:rsid w:val="003C3BEE"/>
    <w:rsid w:val="003D154C"/>
    <w:rsid w:val="003D3672"/>
    <w:rsid w:val="003E35AB"/>
    <w:rsid w:val="003E36E9"/>
    <w:rsid w:val="003E58B5"/>
    <w:rsid w:val="003F3DB0"/>
    <w:rsid w:val="003F779E"/>
    <w:rsid w:val="003F7BDE"/>
    <w:rsid w:val="0040375D"/>
    <w:rsid w:val="00403F49"/>
    <w:rsid w:val="0041557C"/>
    <w:rsid w:val="00425346"/>
    <w:rsid w:val="0043283D"/>
    <w:rsid w:val="004472DD"/>
    <w:rsid w:val="00453FF4"/>
    <w:rsid w:val="00462587"/>
    <w:rsid w:val="004643C7"/>
    <w:rsid w:val="00494E9C"/>
    <w:rsid w:val="004B621E"/>
    <w:rsid w:val="004C3809"/>
    <w:rsid w:val="004C426B"/>
    <w:rsid w:val="004D28A2"/>
    <w:rsid w:val="004D50B5"/>
    <w:rsid w:val="004E1034"/>
    <w:rsid w:val="004F20FA"/>
    <w:rsid w:val="00510BC0"/>
    <w:rsid w:val="005127FE"/>
    <w:rsid w:val="00512B2A"/>
    <w:rsid w:val="00513124"/>
    <w:rsid w:val="00515FF5"/>
    <w:rsid w:val="00522AEE"/>
    <w:rsid w:val="005350C9"/>
    <w:rsid w:val="00545B99"/>
    <w:rsid w:val="005916D7"/>
    <w:rsid w:val="00595693"/>
    <w:rsid w:val="005977D1"/>
    <w:rsid w:val="005B78F1"/>
    <w:rsid w:val="005E2D3D"/>
    <w:rsid w:val="00624FD8"/>
    <w:rsid w:val="00652826"/>
    <w:rsid w:val="00662528"/>
    <w:rsid w:val="00674775"/>
    <w:rsid w:val="0068455A"/>
    <w:rsid w:val="006A009C"/>
    <w:rsid w:val="006A5B98"/>
    <w:rsid w:val="006B0523"/>
    <w:rsid w:val="006B07A4"/>
    <w:rsid w:val="006B7CF2"/>
    <w:rsid w:val="006C0716"/>
    <w:rsid w:val="006D7C99"/>
    <w:rsid w:val="006E5588"/>
    <w:rsid w:val="006F2536"/>
    <w:rsid w:val="006F5F01"/>
    <w:rsid w:val="00711D22"/>
    <w:rsid w:val="00725DEF"/>
    <w:rsid w:val="007339D5"/>
    <w:rsid w:val="00733A32"/>
    <w:rsid w:val="0073721F"/>
    <w:rsid w:val="00753FA8"/>
    <w:rsid w:val="007671EF"/>
    <w:rsid w:val="00775497"/>
    <w:rsid w:val="007826BC"/>
    <w:rsid w:val="007979AD"/>
    <w:rsid w:val="007A5CBB"/>
    <w:rsid w:val="007B36DC"/>
    <w:rsid w:val="007B42F9"/>
    <w:rsid w:val="007B79BF"/>
    <w:rsid w:val="007D124F"/>
    <w:rsid w:val="007D2678"/>
    <w:rsid w:val="00803418"/>
    <w:rsid w:val="0081317D"/>
    <w:rsid w:val="00820065"/>
    <w:rsid w:val="00823D93"/>
    <w:rsid w:val="00825E5C"/>
    <w:rsid w:val="0085078C"/>
    <w:rsid w:val="008512B4"/>
    <w:rsid w:val="00852095"/>
    <w:rsid w:val="00862979"/>
    <w:rsid w:val="00867C78"/>
    <w:rsid w:val="0088781F"/>
    <w:rsid w:val="00895627"/>
    <w:rsid w:val="008A0E31"/>
    <w:rsid w:val="008A7AC3"/>
    <w:rsid w:val="008C3402"/>
    <w:rsid w:val="008D068F"/>
    <w:rsid w:val="008D4419"/>
    <w:rsid w:val="008E069A"/>
    <w:rsid w:val="008E4B6B"/>
    <w:rsid w:val="008F2A55"/>
    <w:rsid w:val="00901F09"/>
    <w:rsid w:val="00905339"/>
    <w:rsid w:val="0091066E"/>
    <w:rsid w:val="00911CB8"/>
    <w:rsid w:val="0091245A"/>
    <w:rsid w:val="00923E76"/>
    <w:rsid w:val="00933BA2"/>
    <w:rsid w:val="009579CC"/>
    <w:rsid w:val="0096048C"/>
    <w:rsid w:val="009772DD"/>
    <w:rsid w:val="00985ED1"/>
    <w:rsid w:val="009879C4"/>
    <w:rsid w:val="009A07BF"/>
    <w:rsid w:val="009C253C"/>
    <w:rsid w:val="009C4943"/>
    <w:rsid w:val="009D0860"/>
    <w:rsid w:val="009E176B"/>
    <w:rsid w:val="00A11659"/>
    <w:rsid w:val="00A20AAB"/>
    <w:rsid w:val="00A20D5B"/>
    <w:rsid w:val="00A21D6E"/>
    <w:rsid w:val="00A4070B"/>
    <w:rsid w:val="00A41AD7"/>
    <w:rsid w:val="00A81A59"/>
    <w:rsid w:val="00A925CD"/>
    <w:rsid w:val="00AA2D96"/>
    <w:rsid w:val="00AC480D"/>
    <w:rsid w:val="00AC49BC"/>
    <w:rsid w:val="00AE3DFC"/>
    <w:rsid w:val="00AF1A9A"/>
    <w:rsid w:val="00B133B6"/>
    <w:rsid w:val="00B15F6B"/>
    <w:rsid w:val="00B16D75"/>
    <w:rsid w:val="00B310ED"/>
    <w:rsid w:val="00B50D36"/>
    <w:rsid w:val="00B60026"/>
    <w:rsid w:val="00B6348E"/>
    <w:rsid w:val="00B66ED2"/>
    <w:rsid w:val="00B67031"/>
    <w:rsid w:val="00B704C7"/>
    <w:rsid w:val="00B7348C"/>
    <w:rsid w:val="00B93829"/>
    <w:rsid w:val="00BB5BC6"/>
    <w:rsid w:val="00BC7F76"/>
    <w:rsid w:val="00BD0A13"/>
    <w:rsid w:val="00BD24D6"/>
    <w:rsid w:val="00BF4F3C"/>
    <w:rsid w:val="00C0569C"/>
    <w:rsid w:val="00C076AF"/>
    <w:rsid w:val="00C234B4"/>
    <w:rsid w:val="00C253EC"/>
    <w:rsid w:val="00C44CF3"/>
    <w:rsid w:val="00C572C0"/>
    <w:rsid w:val="00C70F34"/>
    <w:rsid w:val="00C73865"/>
    <w:rsid w:val="00C809F6"/>
    <w:rsid w:val="00C97924"/>
    <w:rsid w:val="00CA342B"/>
    <w:rsid w:val="00CB6701"/>
    <w:rsid w:val="00CC1A36"/>
    <w:rsid w:val="00CC4B5B"/>
    <w:rsid w:val="00CC5FDB"/>
    <w:rsid w:val="00CD208F"/>
    <w:rsid w:val="00CE78BF"/>
    <w:rsid w:val="00D3023F"/>
    <w:rsid w:val="00D43DA8"/>
    <w:rsid w:val="00D61B8A"/>
    <w:rsid w:val="00D657F4"/>
    <w:rsid w:val="00D726DC"/>
    <w:rsid w:val="00D7528C"/>
    <w:rsid w:val="00DB70C5"/>
    <w:rsid w:val="00DC0679"/>
    <w:rsid w:val="00DE44D3"/>
    <w:rsid w:val="00DF5791"/>
    <w:rsid w:val="00E0047C"/>
    <w:rsid w:val="00E262D6"/>
    <w:rsid w:val="00E3365E"/>
    <w:rsid w:val="00E476A0"/>
    <w:rsid w:val="00E57ED1"/>
    <w:rsid w:val="00E6379A"/>
    <w:rsid w:val="00E75B21"/>
    <w:rsid w:val="00E84478"/>
    <w:rsid w:val="00EA1D33"/>
    <w:rsid w:val="00EB0AF7"/>
    <w:rsid w:val="00EB1B58"/>
    <w:rsid w:val="00EC7B63"/>
    <w:rsid w:val="00EF27ED"/>
    <w:rsid w:val="00EF3E27"/>
    <w:rsid w:val="00F033F8"/>
    <w:rsid w:val="00F10D0E"/>
    <w:rsid w:val="00F220CD"/>
    <w:rsid w:val="00F31E34"/>
    <w:rsid w:val="00F42BBF"/>
    <w:rsid w:val="00F454CC"/>
    <w:rsid w:val="00F55F85"/>
    <w:rsid w:val="00F664E3"/>
    <w:rsid w:val="00F7606B"/>
    <w:rsid w:val="00F82EAD"/>
    <w:rsid w:val="00F855BD"/>
    <w:rsid w:val="00F87D20"/>
    <w:rsid w:val="00F927DC"/>
    <w:rsid w:val="00F95DD3"/>
    <w:rsid w:val="00F96BCD"/>
    <w:rsid w:val="00FA4FD3"/>
    <w:rsid w:val="00FA5F03"/>
    <w:rsid w:val="00FB0025"/>
    <w:rsid w:val="00FC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B3B3"/>
  <w15:chartTrackingRefBased/>
  <w15:docId w15:val="{52E89B3A-4104-4D0A-B7A7-2BFAF198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025E"/>
    <w:pPr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2023-09-28T11:30:00Z</dcterms:created>
  <dcterms:modified xsi:type="dcterms:W3CDTF">2023-09-28T11:30:00Z</dcterms:modified>
</cp:coreProperties>
</file>