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0CB9" w:rsidRPr="00EE577A" w:rsidRDefault="00EE577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n-US"/>
        </w:rPr>
      </w:pPr>
      <w:r w:rsidRPr="00EE577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n-US"/>
        </w:rPr>
        <w:t>PROJETO DE RESOLUÇÃO</w:t>
      </w:r>
      <w:r w:rsidR="004D2E1C" w:rsidRPr="00EE577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n-US"/>
        </w:rPr>
        <w:t xml:space="preserve"> Nº 00</w:t>
      </w:r>
      <w:r w:rsidRPr="00EE577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n-US"/>
        </w:rPr>
        <w:t>1</w:t>
      </w:r>
      <w:r w:rsidR="00CB4C2B" w:rsidRPr="00EE577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n-US"/>
        </w:rPr>
        <w:t xml:space="preserve">, DE </w:t>
      </w:r>
      <w:r w:rsidRPr="00EE577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n-US"/>
        </w:rPr>
        <w:t>03</w:t>
      </w:r>
      <w:r w:rsidR="00CB4C2B" w:rsidRPr="00EE577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n-US"/>
        </w:rPr>
        <w:t xml:space="preserve"> DE </w:t>
      </w:r>
      <w:r w:rsidRPr="00EE577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n-US"/>
        </w:rPr>
        <w:t>ABRIL</w:t>
      </w:r>
      <w:r w:rsidR="004D2E1C" w:rsidRPr="00EE577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n-US"/>
        </w:rPr>
        <w:t xml:space="preserve"> DE 2023</w:t>
      </w:r>
    </w:p>
    <w:p w:rsidR="00E60CB9" w:rsidRPr="00EE577A" w:rsidRDefault="00E60CB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n-US"/>
        </w:rPr>
      </w:pPr>
    </w:p>
    <w:p w:rsidR="00E60CB9" w:rsidRPr="00EE577A" w:rsidRDefault="00EE577A">
      <w:pPr>
        <w:pStyle w:val="Normal0"/>
        <w:widowControl/>
        <w:ind w:left="1190"/>
        <w:jc w:val="both"/>
        <w:rPr>
          <w:rFonts w:ascii="Calibri" w:hAnsi="Calibri" w:cs="Calibri"/>
          <w:lang w:val="pt-BR"/>
        </w:rPr>
      </w:pPr>
      <w:r w:rsidRPr="00EE577A">
        <w:rPr>
          <w:rFonts w:ascii="Calibri" w:hAnsi="Calibri" w:cs="Calibri"/>
          <w:i/>
          <w:iCs/>
          <w:lang w:val="pt-BR"/>
        </w:rPr>
        <w:t>ALTERA DISPOSITIVO DA RESOLUÇÃO N.º 003, DE 12 E MAIO DE 2.003, QUE “DISPÕE SOBRE O REGIMENTO INTERNO DA CÂMARA”</w:t>
      </w:r>
      <w:r w:rsidR="004C78F3" w:rsidRPr="00EE577A">
        <w:rPr>
          <w:rFonts w:ascii="Calibri" w:eastAsia="Times New Roman" w:hAnsi="Calibri" w:cs="Calibri"/>
          <w:i/>
          <w:iCs/>
          <w:lang w:val="pt-BR"/>
        </w:rPr>
        <w:t>.</w:t>
      </w:r>
    </w:p>
    <w:p w:rsidR="00E60CB9" w:rsidRPr="00EE577A" w:rsidRDefault="00E60CB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Calibri" w:hAnsi="Calibri" w:cs="Calibri"/>
          <w:sz w:val="24"/>
          <w:szCs w:val="24"/>
          <w:lang w:val="pt-BR"/>
        </w:rPr>
      </w:pPr>
    </w:p>
    <w:p w:rsidR="00EE577A" w:rsidRPr="00EE577A" w:rsidRDefault="00EE577A">
      <w:pPr>
        <w:pStyle w:val="Normal0"/>
        <w:widowControl/>
        <w:jc w:val="both"/>
        <w:rPr>
          <w:rFonts w:ascii="Calibri" w:eastAsia="Times New Roman" w:hAnsi="Calibri" w:cs="Calibri"/>
          <w:lang w:val="pt-BR"/>
        </w:rPr>
      </w:pPr>
      <w:r w:rsidRPr="00EE577A">
        <w:rPr>
          <w:rFonts w:ascii="Calibri" w:hAnsi="Calibri" w:cs="Calibri"/>
          <w:lang w:val="pt-BR"/>
        </w:rPr>
        <w:t xml:space="preserve">A </w:t>
      </w:r>
      <w:r w:rsidR="004C78F3" w:rsidRPr="00EE577A">
        <w:rPr>
          <w:rFonts w:ascii="Calibri" w:hAnsi="Calibri" w:cs="Calibri"/>
          <w:lang w:val="pt-BR"/>
        </w:rPr>
        <w:t>C</w:t>
      </w:r>
      <w:r w:rsidR="004C78F3" w:rsidRPr="00EE577A">
        <w:rPr>
          <w:rFonts w:ascii="Calibri" w:eastAsia="Times New Roman" w:hAnsi="Calibri" w:cs="Calibri"/>
          <w:lang w:val="pt-BR"/>
        </w:rPr>
        <w:t>âmara Municipal de Itapeva - MG,</w:t>
      </w:r>
      <w:proofErr w:type="gramStart"/>
      <w:r w:rsidR="004C78F3" w:rsidRPr="00EE577A">
        <w:rPr>
          <w:rFonts w:ascii="Calibri" w:eastAsia="Times New Roman" w:hAnsi="Calibri" w:cs="Calibri"/>
          <w:lang w:val="pt-BR"/>
        </w:rPr>
        <w:t xml:space="preserve"> </w:t>
      </w:r>
      <w:r w:rsidRPr="00EE577A">
        <w:rPr>
          <w:rFonts w:ascii="Calibri" w:eastAsia="Times New Roman" w:hAnsi="Calibri" w:cs="Calibri"/>
          <w:lang w:val="pt-BR"/>
        </w:rPr>
        <w:t xml:space="preserve"> </w:t>
      </w:r>
      <w:proofErr w:type="gramEnd"/>
      <w:r w:rsidRPr="00EE577A">
        <w:rPr>
          <w:rFonts w:ascii="Calibri" w:eastAsia="Times New Roman" w:hAnsi="Calibri" w:cs="Calibri"/>
          <w:lang w:val="pt-BR"/>
        </w:rPr>
        <w:t>por seus Vereadores, aprova a seguinte Resolução:</w:t>
      </w:r>
    </w:p>
    <w:p w:rsidR="00E60CB9" w:rsidRPr="00EE577A" w:rsidRDefault="00EE577A">
      <w:pPr>
        <w:pStyle w:val="Normal0"/>
        <w:widowControl/>
        <w:jc w:val="both"/>
        <w:rPr>
          <w:rFonts w:ascii="Calibri" w:eastAsia="Times New Roman" w:hAnsi="Calibri" w:cs="Calibri"/>
          <w:lang w:val="pt-BR"/>
        </w:rPr>
      </w:pPr>
      <w:r w:rsidRPr="00EE577A">
        <w:rPr>
          <w:rFonts w:ascii="Calibri" w:eastAsia="Times New Roman" w:hAnsi="Calibri" w:cs="Calibri"/>
          <w:lang w:val="pt-BR"/>
        </w:rPr>
        <w:t xml:space="preserve"> </w:t>
      </w:r>
    </w:p>
    <w:p w:rsidR="00EE577A" w:rsidRDefault="004C78F3" w:rsidP="00EE577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</w:pPr>
      <w:r w:rsidRPr="00EE577A">
        <w:rPr>
          <w:rFonts w:ascii="Calibri" w:hAnsi="Calibri" w:cs="Calibri"/>
          <w:b/>
          <w:bCs/>
          <w:sz w:val="24"/>
          <w:szCs w:val="24"/>
          <w:lang w:val="pt-BR"/>
        </w:rPr>
        <w:t>Art. 1</w:t>
      </w:r>
      <w:r w:rsidRPr="00EE577A">
        <w:rPr>
          <w:rFonts w:ascii="Calibri" w:eastAsia="Times New Roman" w:hAnsi="Calibri" w:cs="Calibri"/>
          <w:b/>
          <w:bCs/>
          <w:sz w:val="24"/>
          <w:szCs w:val="24"/>
          <w:lang w:val="pt-BR"/>
        </w:rPr>
        <w:t>º.</w:t>
      </w:r>
      <w:r w:rsidR="00E2274E" w:rsidRPr="00EE577A">
        <w:rPr>
          <w:rFonts w:ascii="Calibri" w:eastAsia="Times New Roman" w:hAnsi="Calibri" w:cs="Calibri"/>
          <w:b/>
          <w:bCs/>
          <w:sz w:val="24"/>
          <w:szCs w:val="24"/>
          <w:lang w:val="pt-BR"/>
        </w:rPr>
        <w:t xml:space="preserve"> </w:t>
      </w:r>
      <w:r w:rsidR="00EE577A" w:rsidRPr="00EE577A">
        <w:rPr>
          <w:rFonts w:ascii="Calibri" w:eastAsia="Times New Roman" w:hAnsi="Calibri" w:cs="Calibri"/>
          <w:bCs/>
          <w:sz w:val="24"/>
          <w:szCs w:val="24"/>
          <w:lang w:val="pt-BR"/>
        </w:rPr>
        <w:t xml:space="preserve">O </w:t>
      </w:r>
      <w:proofErr w:type="spellStart"/>
      <w:r w:rsid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inciso</w:t>
      </w:r>
      <w:proofErr w:type="spellEnd"/>
      <w:r w:rsid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XV do </w:t>
      </w:r>
      <w:r w:rsidR="00EE577A"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Art. 45</w:t>
      </w:r>
      <w:r w:rsid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da </w:t>
      </w:r>
      <w:proofErr w:type="spellStart"/>
      <w:r w:rsid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Resolução</w:t>
      </w:r>
      <w:proofErr w:type="spellEnd"/>
      <w:r w:rsid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nº 003, de </w:t>
      </w:r>
      <w:proofErr w:type="gramStart"/>
      <w:r w:rsid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12 </w:t>
      </w:r>
      <w:proofErr w:type="spellStart"/>
      <w:r w:rsid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maio</w:t>
      </w:r>
      <w:proofErr w:type="spellEnd"/>
      <w:proofErr w:type="gramEnd"/>
      <w:r w:rsid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de 2.003</w:t>
      </w:r>
      <w:r w:rsidR="00A678C7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,</w:t>
      </w:r>
      <w:r w:rsid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passa</w:t>
      </w:r>
      <w:proofErr w:type="spellEnd"/>
      <w:r w:rsid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a </w:t>
      </w:r>
      <w:proofErr w:type="spellStart"/>
      <w:r w:rsid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vigorar</w:t>
      </w:r>
      <w:proofErr w:type="spellEnd"/>
      <w:r w:rsid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com a </w:t>
      </w:r>
      <w:proofErr w:type="spellStart"/>
      <w:r w:rsid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seguinte</w:t>
      </w:r>
      <w:proofErr w:type="spellEnd"/>
      <w:r w:rsid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redação</w:t>
      </w:r>
      <w:proofErr w:type="spellEnd"/>
      <w:r w:rsid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:</w:t>
      </w:r>
    </w:p>
    <w:p w:rsidR="00EE577A" w:rsidRDefault="00EE577A" w:rsidP="00EE577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</w:pPr>
    </w:p>
    <w:p w:rsidR="00EE577A" w:rsidRDefault="00E76CF8" w:rsidP="00EE577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val="en-US" w:eastAsia="en-US"/>
        </w:rPr>
        <w:t>“</w:t>
      </w:r>
      <w:r w:rsidR="00EE577A">
        <w:rPr>
          <w:rFonts w:ascii="Calibri" w:eastAsia="Times New Roman" w:hAnsi="Calibri" w:cs="Calibri"/>
          <w:b/>
          <w:color w:val="000000"/>
          <w:sz w:val="24"/>
          <w:szCs w:val="24"/>
          <w:lang w:val="en-US" w:eastAsia="en-US"/>
        </w:rPr>
        <w:t xml:space="preserve">Art. 45. </w:t>
      </w:r>
      <w:r w:rsid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[…]</w:t>
      </w:r>
    </w:p>
    <w:p w:rsidR="00EE577A" w:rsidRDefault="00EE577A" w:rsidP="00EE577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</w:pPr>
    </w:p>
    <w:p w:rsidR="00EE577A" w:rsidRDefault="00EE577A" w:rsidP="00EE577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[…]</w:t>
      </w:r>
    </w:p>
    <w:p w:rsidR="00EE577A" w:rsidRDefault="00EE577A" w:rsidP="00EE577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</w:pPr>
    </w:p>
    <w:p w:rsidR="00EE577A" w:rsidRDefault="00EE577A" w:rsidP="00EE577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</w:pPr>
      <w:r w:rsidRPr="00A678C7">
        <w:rPr>
          <w:rFonts w:ascii="Calibri" w:eastAsia="Times New Roman" w:hAnsi="Calibri" w:cs="Calibri"/>
          <w:b/>
          <w:color w:val="000000"/>
          <w:sz w:val="24"/>
          <w:szCs w:val="24"/>
          <w:lang w:val="en-US" w:eastAsia="en-US"/>
        </w:rPr>
        <w:t>XV -</w:t>
      </w:r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Autorizar</w:t>
      </w:r>
      <w:proofErr w:type="spellEnd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a </w:t>
      </w:r>
      <w:proofErr w:type="spellStart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filmagem</w:t>
      </w:r>
      <w:proofErr w:type="spellEnd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gravação</w:t>
      </w:r>
      <w:proofErr w:type="spellEnd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e a </w:t>
      </w:r>
      <w:proofErr w:type="spellStart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transmissão</w:t>
      </w:r>
      <w:proofErr w:type="spellEnd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reuniões</w:t>
      </w:r>
      <w:proofErr w:type="spellEnd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da </w:t>
      </w:r>
      <w:proofErr w:type="spellStart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Câmara</w:t>
      </w:r>
      <w:proofErr w:type="spellEnd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exceto</w:t>
      </w:r>
      <w:proofErr w:type="spellEnd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quando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estas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se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derem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de forma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oficial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pelo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próprio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Poder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Legislativo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, e </w:t>
      </w:r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no </w:t>
      </w:r>
      <w:proofErr w:type="spellStart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caso</w:t>
      </w:r>
      <w:proofErr w:type="spellEnd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agentes</w:t>
      </w:r>
      <w:proofErr w:type="spellEnd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imprensa</w:t>
      </w:r>
      <w:proofErr w:type="spellEnd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cujo</w:t>
      </w:r>
      <w:proofErr w:type="spellEnd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credenciamento</w:t>
      </w:r>
      <w:proofErr w:type="spellEnd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compete </w:t>
      </w:r>
      <w:proofErr w:type="spellStart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ao</w:t>
      </w:r>
      <w:proofErr w:type="spellEnd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Presidente</w:t>
      </w:r>
      <w:proofErr w:type="spellEnd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da </w:t>
      </w:r>
      <w:proofErr w:type="spellStart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Câmara</w:t>
      </w:r>
      <w:proofErr w:type="spellEnd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nos</w:t>
      </w:r>
      <w:proofErr w:type="spellEnd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termos</w:t>
      </w:r>
      <w:proofErr w:type="spellEnd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do Art. </w:t>
      </w:r>
      <w:proofErr w:type="gramStart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38, </w:t>
      </w:r>
      <w:proofErr w:type="spellStart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inciso</w:t>
      </w:r>
      <w:proofErr w:type="spellEnd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XIV.</w:t>
      </w:r>
      <w:proofErr w:type="gramEnd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( </w:t>
      </w:r>
      <w:proofErr w:type="spellStart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Inciso</w:t>
      </w:r>
      <w:proofErr w:type="spellEnd"/>
      <w:proofErr w:type="gramEnd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acrescentado</w:t>
      </w:r>
      <w:proofErr w:type="spellEnd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pela </w:t>
      </w:r>
      <w:proofErr w:type="spellStart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Resolução</w:t>
      </w:r>
      <w:proofErr w:type="spellEnd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n.º05, de 10 de </w:t>
      </w:r>
      <w:proofErr w:type="spellStart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outubro</w:t>
      </w:r>
      <w:proofErr w:type="spellEnd"/>
      <w:r w:rsidRPr="00EE577A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de 2003)</w:t>
      </w:r>
      <w:r w:rsidR="00E76CF8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” (NR)</w:t>
      </w:r>
    </w:p>
    <w:p w:rsidR="00E76CF8" w:rsidRDefault="00E76CF8" w:rsidP="00EE577A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</w:pPr>
    </w:p>
    <w:p w:rsidR="00673ABE" w:rsidRPr="00EE577A" w:rsidRDefault="00E76CF8" w:rsidP="00A678C7">
      <w:pPr>
        <w:pStyle w:val="Standard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Times New Roman" w:hAnsi="Calibri" w:cs="Calibri"/>
          <w:sz w:val="24"/>
          <w:szCs w:val="24"/>
          <w:lang w:val="pt-BR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val="en-US" w:eastAsia="en-US"/>
        </w:rPr>
        <w:t xml:space="preserve">Art. </w:t>
      </w:r>
      <w:proofErr w:type="gramStart"/>
      <w:r>
        <w:rPr>
          <w:rFonts w:ascii="Calibri" w:eastAsia="Times New Roman" w:hAnsi="Calibri" w:cs="Calibri"/>
          <w:b/>
          <w:color w:val="000000"/>
          <w:sz w:val="24"/>
          <w:szCs w:val="24"/>
          <w:lang w:val="en-US" w:eastAsia="en-US"/>
        </w:rPr>
        <w:t>2º.</w:t>
      </w:r>
      <w:proofErr w:type="gramEnd"/>
      <w:r>
        <w:rPr>
          <w:rFonts w:ascii="Calibri" w:eastAsia="Times New Roman" w:hAnsi="Calibri" w:cs="Calibri"/>
          <w:b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A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redação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dada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ao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inciso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XV do Art. 45 da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Resolução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n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.º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003, de 12 de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maio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de 2.003,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pelo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Art. 1º da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Resolução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n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.º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05, de 10 de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outubro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de 2.013,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fica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alterada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acordo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com a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redação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que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está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sendo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dada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pelo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Art.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1º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desta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Resolução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.</w:t>
      </w:r>
      <w:proofErr w:type="gramEnd"/>
    </w:p>
    <w:p w:rsidR="00E60CB9" w:rsidRPr="00EE577A" w:rsidRDefault="00E60CB9">
      <w:pPr>
        <w:pStyle w:val="Normal0"/>
        <w:widowControl/>
        <w:jc w:val="both"/>
        <w:rPr>
          <w:rFonts w:ascii="Calibri" w:eastAsia="Times New Roman" w:hAnsi="Calibri" w:cs="Calibri"/>
          <w:lang w:val="pt-BR"/>
        </w:rPr>
      </w:pPr>
    </w:p>
    <w:p w:rsidR="00E60CB9" w:rsidRDefault="00A678C7">
      <w:pPr>
        <w:pStyle w:val="Normal0"/>
        <w:widowControl/>
        <w:jc w:val="both"/>
        <w:rPr>
          <w:rFonts w:ascii="Calibri" w:eastAsia="Times New Roman" w:hAnsi="Calibri" w:cs="Calibri"/>
          <w:lang w:val="pt-BR"/>
        </w:rPr>
      </w:pPr>
      <w:r>
        <w:rPr>
          <w:rFonts w:ascii="Calibri" w:hAnsi="Calibri" w:cs="Calibri"/>
          <w:b/>
          <w:bCs/>
          <w:lang w:val="pt-BR"/>
        </w:rPr>
        <w:t>Art. 3</w:t>
      </w:r>
      <w:r w:rsidR="004C78F3" w:rsidRPr="00EE577A">
        <w:rPr>
          <w:rFonts w:ascii="Calibri" w:eastAsia="Times New Roman" w:hAnsi="Calibri" w:cs="Calibri"/>
          <w:b/>
          <w:bCs/>
          <w:lang w:val="pt-BR"/>
        </w:rPr>
        <w:t xml:space="preserve">º. </w:t>
      </w:r>
      <w:r w:rsidR="004C78F3" w:rsidRPr="00EE577A">
        <w:rPr>
          <w:rFonts w:ascii="Calibri" w:hAnsi="Calibri" w:cs="Calibri"/>
          <w:lang w:val="pt-BR"/>
        </w:rPr>
        <w:t>Esta resolu</w:t>
      </w:r>
      <w:r w:rsidR="004C78F3" w:rsidRPr="00EE577A">
        <w:rPr>
          <w:rFonts w:ascii="Calibri" w:eastAsia="Times New Roman" w:hAnsi="Calibri" w:cs="Calibri"/>
          <w:lang w:val="pt-BR"/>
        </w:rPr>
        <w:t>ção entra em vigor na data de sua publicação.</w:t>
      </w:r>
    </w:p>
    <w:p w:rsidR="002B6777" w:rsidRDefault="002B6777">
      <w:pPr>
        <w:pStyle w:val="Normal0"/>
        <w:widowControl/>
        <w:jc w:val="both"/>
        <w:rPr>
          <w:rFonts w:ascii="Calibri" w:eastAsia="Times New Roman" w:hAnsi="Calibri" w:cs="Calibri"/>
          <w:lang w:val="pt-BR"/>
        </w:rPr>
      </w:pPr>
    </w:p>
    <w:p w:rsidR="002B6777" w:rsidRPr="002B6777" w:rsidRDefault="002B6777">
      <w:pPr>
        <w:pStyle w:val="Normal0"/>
        <w:widowControl/>
        <w:jc w:val="both"/>
        <w:rPr>
          <w:rFonts w:ascii="Calibri" w:eastAsia="Times New Roman" w:hAnsi="Calibri" w:cs="Calibri"/>
          <w:lang w:val="pt-BR"/>
        </w:rPr>
      </w:pPr>
      <w:r w:rsidRPr="002B6777">
        <w:rPr>
          <w:rFonts w:ascii="Calibri" w:eastAsia="Times New Roman" w:hAnsi="Calibri" w:cs="Calibri"/>
          <w:b/>
          <w:u w:val="single"/>
          <w:lang w:val="pt-BR"/>
        </w:rPr>
        <w:t>JUSTIFICATIVA</w:t>
      </w:r>
      <w:r>
        <w:rPr>
          <w:rFonts w:ascii="Calibri" w:eastAsia="Times New Roman" w:hAnsi="Calibri" w:cs="Calibri"/>
          <w:b/>
          <w:u w:val="single"/>
          <w:lang w:val="pt-BR"/>
        </w:rPr>
        <w:t>:</w:t>
      </w:r>
      <w:r>
        <w:rPr>
          <w:rFonts w:ascii="Calibri" w:eastAsia="Times New Roman" w:hAnsi="Calibri" w:cs="Calibri"/>
          <w:lang w:val="pt-BR"/>
        </w:rPr>
        <w:t xml:space="preserve"> O presente projeto de resolução visa alterar a Resolução n.º 003, de 12 de maio de 2.003 – Regimento Interno da </w:t>
      </w:r>
      <w:proofErr w:type="gramStart"/>
      <w:r>
        <w:rPr>
          <w:rFonts w:ascii="Calibri" w:eastAsia="Times New Roman" w:hAnsi="Calibri" w:cs="Calibri"/>
          <w:lang w:val="pt-BR"/>
        </w:rPr>
        <w:t>Câmara ,</w:t>
      </w:r>
      <w:proofErr w:type="gramEnd"/>
      <w:r>
        <w:rPr>
          <w:rFonts w:ascii="Calibri" w:eastAsia="Times New Roman" w:hAnsi="Calibri" w:cs="Calibri"/>
          <w:lang w:val="pt-BR"/>
        </w:rPr>
        <w:t xml:space="preserve"> visando permitir a filmagem, gravação e transmissão das reuniões desta Câmara Municipal, de forma oficial pelo próprio Poder Legislativo.</w:t>
      </w:r>
    </w:p>
    <w:p w:rsidR="00E60CB9" w:rsidRPr="00EE577A" w:rsidRDefault="00E60CB9">
      <w:pPr>
        <w:pStyle w:val="Normal0"/>
        <w:widowControl/>
        <w:jc w:val="both"/>
        <w:rPr>
          <w:rFonts w:ascii="Calibri" w:hAnsi="Calibri" w:cs="Calibri"/>
          <w:b/>
          <w:bCs/>
          <w:lang w:val="pt-BR"/>
        </w:rPr>
      </w:pPr>
    </w:p>
    <w:p w:rsidR="00E60CB9" w:rsidRPr="00EE577A" w:rsidRDefault="004C78F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Times New Roman" w:hAnsi="Calibri" w:cs="Calibri"/>
          <w:color w:val="000000"/>
          <w:sz w:val="24"/>
          <w:szCs w:val="24"/>
          <w:lang w:val="pt-BR"/>
        </w:rPr>
      </w:pPr>
      <w:r w:rsidRPr="00EE577A">
        <w:rPr>
          <w:rFonts w:ascii="Calibri" w:hAnsi="Calibri" w:cs="Calibri"/>
          <w:color w:val="000000"/>
          <w:sz w:val="24"/>
          <w:szCs w:val="24"/>
          <w:lang w:val="pt-BR"/>
        </w:rPr>
        <w:t>Sala das Sess</w:t>
      </w:r>
      <w:r w:rsidR="00CB4C2B" w:rsidRPr="00EE577A">
        <w:rPr>
          <w:rFonts w:ascii="Calibri" w:eastAsia="Times New Roman" w:hAnsi="Calibri" w:cs="Calibri"/>
          <w:color w:val="000000"/>
          <w:sz w:val="24"/>
          <w:szCs w:val="24"/>
          <w:lang w:val="pt-BR"/>
        </w:rPr>
        <w:t xml:space="preserve">ões, em </w:t>
      </w:r>
      <w:r w:rsidR="00A678C7">
        <w:rPr>
          <w:rFonts w:ascii="Calibri" w:eastAsia="Times New Roman" w:hAnsi="Calibri" w:cs="Calibri"/>
          <w:color w:val="000000"/>
          <w:sz w:val="24"/>
          <w:szCs w:val="24"/>
          <w:lang w:val="pt-BR"/>
        </w:rPr>
        <w:t>03 de abril de 2023.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3146"/>
      </w:tblGrid>
      <w:tr w:rsidR="00E60CB9" w:rsidRPr="00EE577A"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2B6777" w:rsidRDefault="002B6777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  <w:lang w:val="pt-BR"/>
              </w:rPr>
            </w:pPr>
          </w:p>
          <w:p w:rsidR="00E60CB9" w:rsidRPr="00EE577A" w:rsidRDefault="00CB4C2B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hAnsi="Calibri" w:cs="Calibri"/>
                <w:i/>
                <w:color w:val="000000"/>
                <w:sz w:val="24"/>
                <w:szCs w:val="24"/>
                <w:lang w:val="pt-BR"/>
              </w:rPr>
            </w:pPr>
            <w:bookmarkStart w:id="0" w:name="_GoBack"/>
            <w:bookmarkEnd w:id="0"/>
            <w:r w:rsidRPr="00EE577A"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  <w:lang w:val="pt-BR"/>
              </w:rPr>
              <w:t>HENRIQUE JÚNIOR DA SILVA</w:t>
            </w:r>
          </w:p>
        </w:tc>
      </w:tr>
      <w:tr w:rsidR="00E60CB9" w:rsidRPr="00EE577A"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E60CB9" w:rsidRPr="00EE577A" w:rsidRDefault="004C78F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hAnsi="Calibri" w:cs="Calibri"/>
                <w:color w:val="000000"/>
                <w:sz w:val="24"/>
                <w:szCs w:val="24"/>
                <w:lang w:val="pt-BR"/>
              </w:rPr>
            </w:pPr>
            <w:r w:rsidRPr="00EE577A">
              <w:rPr>
                <w:rFonts w:ascii="Calibri" w:hAnsi="Calibri" w:cs="Calibri"/>
                <w:bCs/>
                <w:color w:val="000000"/>
                <w:sz w:val="24"/>
                <w:szCs w:val="24"/>
                <w:lang w:val="pt-BR"/>
              </w:rPr>
              <w:t>Presidente da Mesa</w:t>
            </w:r>
          </w:p>
        </w:tc>
      </w:tr>
    </w:tbl>
    <w:p w:rsidR="004D2E1C" w:rsidRPr="00EE577A" w:rsidRDefault="004D2E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Calibri" w:hAnsi="Calibri" w:cs="Calibri"/>
          <w:color w:val="000000"/>
          <w:sz w:val="24"/>
          <w:szCs w:val="24"/>
          <w:lang w:val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552"/>
        <w:gridCol w:w="283"/>
      </w:tblGrid>
      <w:tr w:rsidR="00E60CB9" w:rsidRPr="00EE577A" w:rsidTr="00CB4C2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60CB9" w:rsidRPr="00EE577A" w:rsidRDefault="00CB4C2B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hAnsi="Calibri" w:cs="Calibri"/>
                <w:i/>
                <w:color w:val="000000"/>
                <w:sz w:val="24"/>
                <w:szCs w:val="24"/>
                <w:lang w:val="pt-BR"/>
              </w:rPr>
            </w:pPr>
            <w:r w:rsidRPr="00EE577A"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  <w:lang w:val="pt-BR"/>
              </w:rPr>
              <w:t>SINVALDO JOSÉ LOPES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0CB9" w:rsidRPr="00EE577A" w:rsidRDefault="00E60CB9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hAnsi="Calibri" w:cs="Calibri"/>
                <w:color w:val="000000"/>
                <w:sz w:val="24"/>
                <w:szCs w:val="24"/>
                <w:lang w:val="pt-BR"/>
              </w:rPr>
            </w:pPr>
          </w:p>
        </w:tc>
      </w:tr>
      <w:tr w:rsidR="00E60CB9" w:rsidRPr="00EE577A" w:rsidTr="00CB4C2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60CB9" w:rsidRPr="00EE577A" w:rsidRDefault="004C78F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hAnsi="Calibri" w:cs="Calibri"/>
                <w:color w:val="000000"/>
                <w:sz w:val="24"/>
                <w:szCs w:val="24"/>
                <w:lang w:val="pt-BR"/>
              </w:rPr>
            </w:pPr>
            <w:r w:rsidRPr="00EE577A">
              <w:rPr>
                <w:rFonts w:ascii="Calibri" w:hAnsi="Calibri" w:cs="Calibri"/>
                <w:bCs/>
                <w:color w:val="000000"/>
                <w:sz w:val="24"/>
                <w:szCs w:val="24"/>
                <w:lang w:val="pt-BR"/>
              </w:rPr>
              <w:t>Vice-Presidente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0CB9" w:rsidRPr="00EE577A" w:rsidRDefault="00E60CB9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hAnsi="Calibri" w:cs="Calibri"/>
                <w:color w:val="000000"/>
                <w:sz w:val="24"/>
                <w:szCs w:val="24"/>
                <w:lang w:val="pt-BR"/>
              </w:rPr>
            </w:pPr>
          </w:p>
        </w:tc>
      </w:tr>
    </w:tbl>
    <w:p w:rsidR="00CB4C2B" w:rsidRPr="00EE577A" w:rsidRDefault="00CB4C2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hAnsi="Calibri" w:cs="Calibri"/>
          <w:color w:val="000000"/>
          <w:sz w:val="24"/>
          <w:szCs w:val="24"/>
          <w:lang w:val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835"/>
      </w:tblGrid>
      <w:tr w:rsidR="00E60CB9" w:rsidRPr="00EE577A" w:rsidTr="00CB4C2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60CB9" w:rsidRPr="00EE577A" w:rsidRDefault="00CB4C2B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hAnsi="Calibri" w:cs="Calibri"/>
                <w:i/>
                <w:color w:val="000000"/>
                <w:sz w:val="24"/>
                <w:szCs w:val="24"/>
                <w:lang w:val="pt-BR"/>
              </w:rPr>
            </w:pPr>
            <w:r w:rsidRPr="00EE577A">
              <w:rPr>
                <w:rFonts w:ascii="Calibri" w:hAnsi="Calibri" w:cs="Calibri"/>
                <w:b/>
                <w:bCs/>
                <w:i/>
                <w:color w:val="000000"/>
                <w:sz w:val="24"/>
                <w:szCs w:val="24"/>
                <w:lang w:val="pt-BR"/>
              </w:rPr>
              <w:t>TONI TOSHIO YAMASHITA</w:t>
            </w:r>
          </w:p>
        </w:tc>
      </w:tr>
      <w:tr w:rsidR="00E60CB9" w:rsidRPr="00EE577A" w:rsidTr="00CB4C2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60CB9" w:rsidRPr="00EE577A" w:rsidRDefault="004C78F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hAnsi="Calibri" w:cs="Calibri"/>
                <w:color w:val="000000"/>
                <w:sz w:val="24"/>
                <w:szCs w:val="24"/>
                <w:lang w:val="pt-BR"/>
              </w:rPr>
            </w:pPr>
            <w:r w:rsidRPr="00EE577A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pt-BR"/>
              </w:rPr>
              <w:t>Secretário</w:t>
            </w:r>
            <w:r w:rsidR="00A678C7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pt-BR"/>
              </w:rPr>
              <w:t xml:space="preserve"> da Mesa</w:t>
            </w:r>
          </w:p>
        </w:tc>
      </w:tr>
    </w:tbl>
    <w:p w:rsidR="004C78F3" w:rsidRDefault="004C78F3" w:rsidP="00CB4C2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 w:cs="Calibri"/>
          <w:color w:val="000000"/>
          <w:sz w:val="24"/>
          <w:szCs w:val="24"/>
          <w:lang w:val="pt-BR"/>
        </w:rPr>
      </w:pPr>
    </w:p>
    <w:sectPr w:rsidR="004C78F3">
      <w:headerReference w:type="default" r:id="rId7"/>
      <w:footerReference w:type="default" r:id="rId8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DDD" w:rsidRDefault="00A97DDD">
      <w:pPr>
        <w:spacing w:after="0" w:line="240" w:lineRule="auto"/>
      </w:pPr>
      <w:r>
        <w:separator/>
      </w:r>
    </w:p>
  </w:endnote>
  <w:endnote w:type="continuationSeparator" w:id="0">
    <w:p w:rsidR="00A97DDD" w:rsidRDefault="00A9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CB9" w:rsidRDefault="00E60CB9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E60CB9" w:rsidRDefault="00E60CB9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DDD" w:rsidRDefault="00A97DDD">
      <w:pPr>
        <w:spacing w:after="0" w:line="240" w:lineRule="auto"/>
      </w:pPr>
      <w:r>
        <w:separator/>
      </w:r>
    </w:p>
  </w:footnote>
  <w:footnote w:type="continuationSeparator" w:id="0">
    <w:p w:rsidR="00A97DDD" w:rsidRDefault="00A97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7285"/>
    </w:tblGrid>
    <w:tr w:rsidR="00E60CB9"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E60CB9" w:rsidRDefault="007373A1">
          <w:pPr>
            <w:pStyle w:val="Standard"/>
            <w:tabs>
              <w:tab w:val="center" w:pos="4419"/>
              <w:tab w:val="left" w:pos="8618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 wp14:anchorId="478A8A6F" wp14:editId="28ED9E8A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85" w:type="dxa"/>
          <w:tcBorders>
            <w:top w:val="nil"/>
            <w:left w:val="nil"/>
            <w:bottom w:val="nil"/>
            <w:right w:val="nil"/>
          </w:tcBorders>
        </w:tcPr>
        <w:p w:rsidR="00E60CB9" w:rsidRDefault="004C78F3">
          <w:pPr>
            <w:pStyle w:val="Standard"/>
            <w:tabs>
              <w:tab w:val="center" w:pos="4419"/>
              <w:tab w:val="left" w:pos="8788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E60CB9" w:rsidRDefault="004C78F3">
          <w:pPr>
            <w:pStyle w:val="Standard"/>
            <w:tabs>
              <w:tab w:val="center" w:pos="4419"/>
              <w:tab w:val="left" w:pos="8788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E60CB9" w:rsidRDefault="004C78F3">
          <w:pPr>
            <w:pStyle w:val="Standard"/>
            <w:tabs>
              <w:tab w:val="center" w:pos="4419"/>
              <w:tab w:val="left" w:pos="8788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E60CB9" w:rsidRDefault="004C78F3">
          <w:pPr>
            <w:pStyle w:val="Standard"/>
            <w:tabs>
              <w:tab w:val="center" w:pos="4419"/>
              <w:tab w:val="left" w:pos="8788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E60CB9" w:rsidRDefault="004D2E1C">
          <w:pPr>
            <w:pStyle w:val="Standard"/>
            <w:tabs>
              <w:tab w:val="center" w:pos="4419"/>
              <w:tab w:val="left" w:pos="8788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www.itapeva.mg.leg</w:t>
          </w:r>
          <w:r w:rsidR="004C78F3">
            <w:rPr>
              <w:lang w:val="en-US" w:eastAsia="en-US"/>
            </w:rPr>
            <w:t xml:space="preserve">.br - </w:t>
          </w:r>
          <w:r>
            <w:rPr>
              <w:lang w:val="en-US" w:eastAsia="en-US"/>
            </w:rPr>
            <w:t>e-mail: camara@itapeva.mg.leg</w:t>
          </w:r>
          <w:r w:rsidR="004C78F3">
            <w:rPr>
              <w:lang w:val="en-US" w:eastAsia="en-US"/>
            </w:rPr>
            <w:t>.br</w:t>
          </w:r>
        </w:p>
      </w:tc>
    </w:tr>
  </w:tbl>
  <w:p w:rsidR="00E60CB9" w:rsidRDefault="00E60CB9">
    <w:pPr>
      <w:pStyle w:val="Standard"/>
      <w:tabs>
        <w:tab w:val="center" w:pos="4419"/>
        <w:tab w:val="right" w:pos="7656"/>
      </w:tabs>
      <w:ind w:right="1133"/>
      <w:rPr>
        <w:sz w:val="32"/>
        <w:szCs w:val="32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5D"/>
    <w:rsid w:val="000B0AD3"/>
    <w:rsid w:val="000E0D5D"/>
    <w:rsid w:val="001B6E77"/>
    <w:rsid w:val="002B6777"/>
    <w:rsid w:val="002F2E73"/>
    <w:rsid w:val="002F41A4"/>
    <w:rsid w:val="00463FE9"/>
    <w:rsid w:val="004C78F3"/>
    <w:rsid w:val="004D2E1C"/>
    <w:rsid w:val="00673ABE"/>
    <w:rsid w:val="006B0A9F"/>
    <w:rsid w:val="007373A1"/>
    <w:rsid w:val="00893AC5"/>
    <w:rsid w:val="008B2D23"/>
    <w:rsid w:val="00A678C7"/>
    <w:rsid w:val="00A97DDD"/>
    <w:rsid w:val="00BC2957"/>
    <w:rsid w:val="00C446BD"/>
    <w:rsid w:val="00C5255C"/>
    <w:rsid w:val="00CB4C2B"/>
    <w:rsid w:val="00CC5713"/>
    <w:rsid w:val="00E2274E"/>
    <w:rsid w:val="00E60CB9"/>
    <w:rsid w:val="00E76CF8"/>
    <w:rsid w:val="00E87786"/>
    <w:rsid w:val="00EE577A"/>
    <w:rsid w:val="00F47CA0"/>
    <w:rsid w:val="00F7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4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4C2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D2E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2E1C"/>
  </w:style>
  <w:style w:type="paragraph" w:styleId="Rodap">
    <w:name w:val="footer"/>
    <w:basedOn w:val="Normal"/>
    <w:link w:val="RodapChar"/>
    <w:uiPriority w:val="99"/>
    <w:unhideWhenUsed/>
    <w:rsid w:val="004D2E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2E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4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4C2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D2E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2E1C"/>
  </w:style>
  <w:style w:type="paragraph" w:styleId="Rodap">
    <w:name w:val="footer"/>
    <w:basedOn w:val="Normal"/>
    <w:link w:val="RodapChar"/>
    <w:uiPriority w:val="99"/>
    <w:unhideWhenUsed/>
    <w:rsid w:val="004D2E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2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valdo\Desktop\SAPL\2023\Resolu&#231;&#245;es%20MD\Resolu&#231;&#227;o%20Mesa%20Diretora%2001-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Resolução Mesa Diretora 01-23.dotx</Template>
  <TotalTime>28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12</cp:revision>
  <cp:lastPrinted>2023-04-03T17:07:00Z</cp:lastPrinted>
  <dcterms:created xsi:type="dcterms:W3CDTF">2023-04-03T16:42:00Z</dcterms:created>
  <dcterms:modified xsi:type="dcterms:W3CDTF">2023-04-03T17:09:00Z</dcterms:modified>
</cp:coreProperties>
</file>