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E52F4" w:rsidRDefault="00E82982">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pt-BR"/>
        </w:rPr>
      </w:pPr>
      <w:r>
        <w:rPr>
          <w:b/>
          <w:bCs/>
          <w:color w:val="000000"/>
          <w:sz w:val="24"/>
          <w:szCs w:val="24"/>
          <w:lang w:val="pt-BR"/>
        </w:rPr>
        <w:t>PROJETO DE LEI</w:t>
      </w:r>
      <w:r w:rsidR="009C01FB">
        <w:rPr>
          <w:b/>
          <w:bCs/>
          <w:color w:val="000000"/>
          <w:sz w:val="24"/>
          <w:szCs w:val="24"/>
          <w:lang w:val="pt-BR"/>
        </w:rPr>
        <w:t xml:space="preserve"> ORDINÁRIA</w:t>
      </w:r>
      <w:r>
        <w:rPr>
          <w:b/>
          <w:bCs/>
          <w:color w:val="000000"/>
          <w:sz w:val="24"/>
          <w:szCs w:val="24"/>
          <w:lang w:val="pt-BR"/>
        </w:rPr>
        <w:t xml:space="preserve"> N</w:t>
      </w:r>
      <w:r>
        <w:rPr>
          <w:rFonts w:eastAsia="Times New Roman"/>
          <w:b/>
          <w:bCs/>
          <w:color w:val="000000"/>
          <w:sz w:val="24"/>
          <w:szCs w:val="24"/>
          <w:lang w:val="pt-BR"/>
        </w:rPr>
        <w:t xml:space="preserve">º </w:t>
      </w:r>
      <w:r w:rsidR="00565895">
        <w:rPr>
          <w:rFonts w:eastAsia="Times New Roman"/>
          <w:b/>
          <w:bCs/>
          <w:color w:val="000000"/>
          <w:sz w:val="24"/>
          <w:szCs w:val="24"/>
          <w:lang w:val="pt-BR"/>
        </w:rPr>
        <w:t>______________/2024</w:t>
      </w:r>
    </w:p>
    <w:p w:rsidR="004E52F4" w:rsidRDefault="004E52F4">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b/>
          <w:bCs/>
          <w:color w:val="000000"/>
          <w:lang w:val="pt-BR"/>
        </w:rPr>
      </w:pPr>
    </w:p>
    <w:p w:rsidR="004E52F4" w:rsidRDefault="00E82982">
      <w:pPr>
        <w:pStyle w:val="Normal0"/>
        <w:widowControl/>
        <w:ind w:left="1134"/>
        <w:jc w:val="both"/>
        <w:rPr>
          <w:rFonts w:ascii="Times New Roman" w:eastAsia="Times New Roman" w:hAnsi="Times New Roman" w:cs="Times New Roman"/>
          <w:color w:val="000000"/>
          <w:lang w:val="pt-BR"/>
        </w:rPr>
      </w:pPr>
      <w:r>
        <w:rPr>
          <w:rFonts w:ascii="Times New Roman" w:hAnsi="Times New Roman" w:cs="Times New Roman"/>
          <w:color w:val="000000"/>
          <w:lang w:val="pt-BR"/>
        </w:rPr>
        <w:t>CONCEDE REVIS</w:t>
      </w:r>
      <w:r>
        <w:rPr>
          <w:rFonts w:ascii="Times New Roman" w:eastAsia="Times New Roman" w:hAnsi="Times New Roman" w:cs="Times New Roman"/>
          <w:color w:val="000000"/>
          <w:lang w:val="pt-BR"/>
        </w:rPr>
        <w:t>ÃO GERAL DE VENCIMENTOS AOS SERVIDORES EFETIVOS E COMISSIONADOS DA CÂMARA MUNICIPAL DE ITAPEVA, NOS TERMOS DO INCISO X DO ART. 37 DA CONSTITUIÇÃO FEDERAL DE 1988.</w:t>
      </w:r>
    </w:p>
    <w:p w:rsidR="004E52F4" w:rsidRDefault="004E52F4">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pt-BR"/>
        </w:rPr>
      </w:pPr>
      <w:bookmarkStart w:id="0" w:name="_GoBack"/>
      <w:bookmarkEnd w:id="0"/>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hAnsi="Times New Roman" w:cs="Times New Roman"/>
          <w:sz w:val="24"/>
          <w:szCs w:val="24"/>
          <w:lang w:val="pt-BR"/>
        </w:rPr>
        <w:t>A C</w:t>
      </w:r>
      <w:r>
        <w:rPr>
          <w:rFonts w:ascii="Times New Roman" w:eastAsia="Times New Roman" w:hAnsi="Times New Roman" w:cs="Times New Roman"/>
          <w:sz w:val="24"/>
          <w:szCs w:val="24"/>
          <w:lang w:val="pt-BR"/>
        </w:rPr>
        <w:t>âmara Municipal de Itapeva, Estado de Minas Gerais, por meio de seus vereadores aprova a seguinte LEI:</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990E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sidRPr="00793F92">
        <w:rPr>
          <w:rFonts w:ascii="Times New Roman" w:eastAsia="Times New Roman" w:hAnsi="Times New Roman" w:cs="Times New Roman"/>
          <w:b/>
          <w:sz w:val="24"/>
          <w:szCs w:val="24"/>
          <w:lang w:val="pt-BR"/>
        </w:rPr>
        <w:t>Art. 1º</w:t>
      </w:r>
      <w:r>
        <w:rPr>
          <w:rFonts w:ascii="Times New Roman" w:eastAsia="Times New Roman" w:hAnsi="Times New Roman" w:cs="Times New Roman"/>
          <w:sz w:val="24"/>
          <w:szCs w:val="24"/>
          <w:lang w:val="pt-BR"/>
        </w:rPr>
        <w:t xml:space="preserve">. </w:t>
      </w:r>
      <w:r w:rsidR="00E82982">
        <w:rPr>
          <w:rFonts w:ascii="Times New Roman" w:eastAsia="Times New Roman" w:hAnsi="Times New Roman" w:cs="Times New Roman"/>
          <w:sz w:val="24"/>
          <w:szCs w:val="24"/>
          <w:lang w:val="pt-BR"/>
        </w:rPr>
        <w:t>Os vencimentos dos servidores efetivos e comissionados do Poder Legislativo do Município de Itapeva - MG - ficam revistos na forma do inciso X do Art. 37 da Constituição Federal de 1988, aplicando-se o índice de revisão geral de</w:t>
      </w:r>
      <w:r w:rsidR="00565895">
        <w:rPr>
          <w:rFonts w:ascii="Times New Roman" w:eastAsia="Times New Roman" w:hAnsi="Times New Roman" w:cs="Times New Roman"/>
          <w:sz w:val="24"/>
          <w:szCs w:val="24"/>
          <w:lang w:val="pt-BR"/>
        </w:rPr>
        <w:t xml:space="preserve"> 4,62</w:t>
      </w:r>
      <w:r w:rsidR="00E82982">
        <w:rPr>
          <w:rFonts w:ascii="Times New Roman" w:eastAsia="Times New Roman" w:hAnsi="Times New Roman" w:cs="Times New Roman"/>
          <w:sz w:val="24"/>
          <w:szCs w:val="24"/>
          <w:lang w:val="pt-BR"/>
        </w:rPr>
        <w:t>% (</w:t>
      </w:r>
      <w:r w:rsidR="00565895">
        <w:rPr>
          <w:rFonts w:ascii="Times New Roman" w:eastAsia="Times New Roman" w:hAnsi="Times New Roman" w:cs="Times New Roman"/>
          <w:sz w:val="24"/>
          <w:szCs w:val="24"/>
          <w:lang w:val="pt-BR"/>
        </w:rPr>
        <w:t>quatro</w:t>
      </w:r>
      <w:r w:rsidR="00793F92">
        <w:rPr>
          <w:rFonts w:ascii="Times New Roman" w:eastAsia="Times New Roman" w:hAnsi="Times New Roman" w:cs="Times New Roman"/>
          <w:sz w:val="24"/>
          <w:szCs w:val="24"/>
          <w:lang w:val="pt-BR"/>
        </w:rPr>
        <w:t xml:space="preserve"> inteiros e </w:t>
      </w:r>
      <w:r w:rsidR="00565895">
        <w:rPr>
          <w:rFonts w:ascii="Times New Roman" w:eastAsia="Times New Roman" w:hAnsi="Times New Roman" w:cs="Times New Roman"/>
          <w:sz w:val="24"/>
          <w:szCs w:val="24"/>
          <w:lang w:val="pt-BR"/>
        </w:rPr>
        <w:t xml:space="preserve">sessenta </w:t>
      </w:r>
      <w:r w:rsidR="00793F92">
        <w:rPr>
          <w:rFonts w:ascii="Times New Roman" w:eastAsia="Times New Roman" w:hAnsi="Times New Roman" w:cs="Times New Roman"/>
          <w:sz w:val="24"/>
          <w:szCs w:val="24"/>
          <w:lang w:val="pt-BR"/>
        </w:rPr>
        <w:t xml:space="preserve">e </w:t>
      </w:r>
      <w:r w:rsidR="00565895">
        <w:rPr>
          <w:rFonts w:ascii="Times New Roman" w:eastAsia="Times New Roman" w:hAnsi="Times New Roman" w:cs="Times New Roman"/>
          <w:sz w:val="24"/>
          <w:szCs w:val="24"/>
          <w:lang w:val="pt-BR"/>
        </w:rPr>
        <w:t xml:space="preserve">dois </w:t>
      </w:r>
      <w:r w:rsidR="00793F92">
        <w:rPr>
          <w:rFonts w:ascii="Times New Roman" w:eastAsia="Times New Roman" w:hAnsi="Times New Roman" w:cs="Times New Roman"/>
          <w:sz w:val="24"/>
          <w:szCs w:val="24"/>
          <w:lang w:val="pt-BR"/>
        </w:rPr>
        <w:t>centésimos por cento</w:t>
      </w:r>
      <w:r w:rsidR="00E82982">
        <w:rPr>
          <w:rFonts w:ascii="Times New Roman" w:eastAsia="Times New Roman" w:hAnsi="Times New Roman" w:cs="Times New Roman"/>
          <w:sz w:val="24"/>
          <w:szCs w:val="24"/>
          <w:lang w:val="pt-BR"/>
        </w:rPr>
        <w:t>), conforme índice acumulado do IPCA - IBGE, referente ao perío</w:t>
      </w:r>
      <w:r w:rsidR="00565895">
        <w:rPr>
          <w:rFonts w:ascii="Times New Roman" w:eastAsia="Times New Roman" w:hAnsi="Times New Roman" w:cs="Times New Roman"/>
          <w:sz w:val="24"/>
          <w:szCs w:val="24"/>
          <w:lang w:val="pt-BR"/>
        </w:rPr>
        <w:t xml:space="preserve">do de janeiro </w:t>
      </w:r>
      <w:proofErr w:type="gramStart"/>
      <w:r w:rsidR="00565895">
        <w:rPr>
          <w:rFonts w:ascii="Times New Roman" w:eastAsia="Times New Roman" w:hAnsi="Times New Roman" w:cs="Times New Roman"/>
          <w:sz w:val="24"/>
          <w:szCs w:val="24"/>
          <w:lang w:val="pt-BR"/>
        </w:rPr>
        <w:t>à</w:t>
      </w:r>
      <w:proofErr w:type="gramEnd"/>
      <w:r w:rsidR="00565895">
        <w:rPr>
          <w:rFonts w:ascii="Times New Roman" w:eastAsia="Times New Roman" w:hAnsi="Times New Roman" w:cs="Times New Roman"/>
          <w:sz w:val="24"/>
          <w:szCs w:val="24"/>
          <w:lang w:val="pt-BR"/>
        </w:rPr>
        <w:t xml:space="preserve"> dezembro de 2023</w:t>
      </w:r>
      <w:r w:rsidR="00E82982">
        <w:rPr>
          <w:rFonts w:ascii="Times New Roman" w:eastAsia="Times New Roman" w:hAnsi="Times New Roman" w:cs="Times New Roman"/>
          <w:sz w:val="24"/>
          <w:szCs w:val="24"/>
          <w:lang w:val="pt-BR"/>
        </w:rPr>
        <w:t>.</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sidRPr="00793F92">
        <w:rPr>
          <w:rFonts w:ascii="Times New Roman" w:eastAsia="Times New Roman" w:hAnsi="Times New Roman" w:cs="Times New Roman"/>
          <w:b/>
          <w:sz w:val="24"/>
          <w:szCs w:val="24"/>
          <w:lang w:val="pt-BR"/>
        </w:rPr>
        <w:t>Art. 2º.</w:t>
      </w:r>
      <w:r>
        <w:rPr>
          <w:rFonts w:ascii="Times New Roman" w:eastAsia="Times New Roman" w:hAnsi="Times New Roman" w:cs="Times New Roman"/>
          <w:sz w:val="24"/>
          <w:szCs w:val="24"/>
          <w:lang w:val="pt-BR"/>
        </w:rPr>
        <w:t xml:space="preserve"> A Câmara Municipal de Itapeva - MG atualizará as tabelas de vencimentos constantes do Anexo II - Quadro de Cargos em Comissão e Vencimentos, e do Anexo IV - Tabela de Vencimentos dos Cargos de Provimento Efetivo, ambos da Lei Complementar n.º 22, 26 de junho de 2012, de acordo com o índice de revisão geral concedido por esta lei.</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sidRPr="00793F92">
        <w:rPr>
          <w:rFonts w:ascii="Times New Roman" w:eastAsia="Times New Roman" w:hAnsi="Times New Roman" w:cs="Times New Roman"/>
          <w:b/>
          <w:sz w:val="24"/>
          <w:szCs w:val="24"/>
          <w:lang w:val="pt-BR"/>
        </w:rPr>
        <w:t>Art. 3º</w:t>
      </w:r>
      <w:r>
        <w:rPr>
          <w:rFonts w:ascii="Times New Roman" w:eastAsia="Times New Roman" w:hAnsi="Times New Roman" w:cs="Times New Roman"/>
          <w:sz w:val="24"/>
          <w:szCs w:val="24"/>
          <w:lang w:val="pt-BR"/>
        </w:rPr>
        <w:t>. Esta lei entra em vigor na data de sua publicação, retroagindo seus</w:t>
      </w:r>
      <w:r w:rsidR="00565895">
        <w:rPr>
          <w:rFonts w:ascii="Times New Roman" w:eastAsia="Times New Roman" w:hAnsi="Times New Roman" w:cs="Times New Roman"/>
          <w:sz w:val="24"/>
          <w:szCs w:val="24"/>
          <w:lang w:val="pt-BR"/>
        </w:rPr>
        <w:t xml:space="preserve"> efeitos à 1º de janeiro de 2024</w:t>
      </w:r>
      <w:r>
        <w:rPr>
          <w:rFonts w:ascii="Times New Roman" w:eastAsia="Times New Roman" w:hAnsi="Times New Roman" w:cs="Times New Roman"/>
          <w:sz w:val="24"/>
          <w:szCs w:val="24"/>
          <w:lang w:val="pt-BR"/>
        </w:rPr>
        <w:t>.</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Sala das Sessões, </w:t>
      </w:r>
      <w:r w:rsidR="00565895">
        <w:rPr>
          <w:rFonts w:ascii="Times New Roman" w:eastAsia="Times New Roman" w:hAnsi="Times New Roman" w:cs="Times New Roman"/>
          <w:sz w:val="24"/>
          <w:szCs w:val="24"/>
          <w:lang w:val="pt-BR"/>
        </w:rPr>
        <w:t>11 de janeiro de 2024</w:t>
      </w:r>
      <w:r w:rsidR="00793F92">
        <w:rPr>
          <w:rFonts w:ascii="Times New Roman" w:eastAsia="Times New Roman" w:hAnsi="Times New Roman" w:cs="Times New Roman"/>
          <w:sz w:val="24"/>
          <w:szCs w:val="24"/>
          <w:lang w:val="pt-BR"/>
        </w:rPr>
        <w:t>.</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793F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i/>
          <w:iCs/>
          <w:sz w:val="24"/>
          <w:szCs w:val="24"/>
          <w:lang w:val="pt-BR"/>
        </w:rPr>
      </w:pPr>
      <w:r>
        <w:rPr>
          <w:rFonts w:ascii="Times New Roman" w:hAnsi="Times New Roman" w:cs="Times New Roman"/>
          <w:b/>
          <w:bCs/>
          <w:i/>
          <w:iCs/>
          <w:sz w:val="24"/>
          <w:szCs w:val="24"/>
          <w:lang w:val="pt-BR"/>
        </w:rPr>
        <w:t>HENRIQUE JÚNIOR DA SILVA</w:t>
      </w:r>
    </w:p>
    <w:p w:rsidR="004E52F4" w:rsidRPr="00793F92"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Cs/>
          <w:i/>
          <w:iCs/>
          <w:sz w:val="24"/>
          <w:szCs w:val="24"/>
          <w:lang w:val="pt-BR"/>
        </w:rPr>
      </w:pPr>
      <w:r w:rsidRPr="00793F92">
        <w:rPr>
          <w:rFonts w:ascii="Times New Roman" w:hAnsi="Times New Roman" w:cs="Times New Roman"/>
          <w:bCs/>
          <w:i/>
          <w:iCs/>
          <w:sz w:val="24"/>
          <w:szCs w:val="24"/>
          <w:lang w:val="pt-BR"/>
        </w:rPr>
        <w:t>Presidente da C</w:t>
      </w:r>
      <w:r w:rsidRPr="00793F92">
        <w:rPr>
          <w:rFonts w:ascii="Times New Roman" w:eastAsia="Times New Roman" w:hAnsi="Times New Roman" w:cs="Times New Roman"/>
          <w:bCs/>
          <w:i/>
          <w:iCs/>
          <w:sz w:val="24"/>
          <w:szCs w:val="24"/>
          <w:lang w:val="pt-BR"/>
        </w:rPr>
        <w:t>âmara</w:t>
      </w:r>
    </w:p>
    <w:p w:rsidR="00565895" w:rsidRDefault="005658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
          <w:bCs/>
          <w:i/>
          <w:iCs/>
          <w:sz w:val="24"/>
          <w:szCs w:val="24"/>
          <w:lang w:val="pt-BR"/>
        </w:rPr>
      </w:pPr>
    </w:p>
    <w:p w:rsidR="004E52F4" w:rsidRDefault="00793F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
          <w:bCs/>
          <w:i/>
          <w:iCs/>
          <w:sz w:val="24"/>
          <w:szCs w:val="24"/>
          <w:lang w:val="pt-BR"/>
        </w:rPr>
      </w:pPr>
      <w:r>
        <w:rPr>
          <w:rFonts w:ascii="Times New Roman" w:eastAsia="Times New Roman" w:hAnsi="Times New Roman" w:cs="Times New Roman"/>
          <w:b/>
          <w:bCs/>
          <w:i/>
          <w:iCs/>
          <w:sz w:val="24"/>
          <w:szCs w:val="24"/>
          <w:lang w:val="pt-BR"/>
        </w:rPr>
        <w:t>TONI TOSHIO YAMASHITA</w:t>
      </w:r>
    </w:p>
    <w:p w:rsidR="004E52F4" w:rsidRPr="00793F92"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Cs/>
          <w:i/>
          <w:iCs/>
          <w:sz w:val="24"/>
          <w:szCs w:val="24"/>
          <w:lang w:val="pt-BR"/>
        </w:rPr>
      </w:pPr>
      <w:r w:rsidRPr="00793F92">
        <w:rPr>
          <w:rFonts w:ascii="Times New Roman" w:eastAsia="Times New Roman" w:hAnsi="Times New Roman" w:cs="Times New Roman"/>
          <w:bCs/>
          <w:i/>
          <w:iCs/>
          <w:sz w:val="24"/>
          <w:szCs w:val="24"/>
          <w:lang w:val="pt-BR"/>
        </w:rPr>
        <w:t>Secretário da Mesa</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990EE1" w:rsidRDefault="00990E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565895" w:rsidRDefault="005658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565895" w:rsidRDefault="005658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565895" w:rsidRDefault="005658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565895" w:rsidRDefault="005658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E82982">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pt-BR"/>
        </w:rPr>
      </w:pPr>
      <w:r>
        <w:rPr>
          <w:b/>
          <w:bCs/>
          <w:color w:val="000000"/>
          <w:sz w:val="24"/>
          <w:szCs w:val="24"/>
          <w:lang w:val="pt-BR"/>
        </w:rPr>
        <w:t>PROJETO DE LEI</w:t>
      </w:r>
      <w:r w:rsidR="009C01FB">
        <w:rPr>
          <w:b/>
          <w:bCs/>
          <w:color w:val="000000"/>
          <w:sz w:val="24"/>
          <w:szCs w:val="24"/>
          <w:lang w:val="pt-BR"/>
        </w:rPr>
        <w:t xml:space="preserve"> ORDINÁRIA</w:t>
      </w:r>
      <w:r>
        <w:rPr>
          <w:b/>
          <w:bCs/>
          <w:color w:val="000000"/>
          <w:sz w:val="24"/>
          <w:szCs w:val="24"/>
          <w:lang w:val="pt-BR"/>
        </w:rPr>
        <w:t xml:space="preserve"> N</w:t>
      </w:r>
      <w:r>
        <w:rPr>
          <w:rFonts w:eastAsia="Times New Roman"/>
          <w:b/>
          <w:bCs/>
          <w:color w:val="000000"/>
          <w:sz w:val="24"/>
          <w:szCs w:val="24"/>
          <w:lang w:val="pt-BR"/>
        </w:rPr>
        <w:t>º</w:t>
      </w:r>
      <w:r w:rsidR="00565895">
        <w:rPr>
          <w:rFonts w:eastAsia="Times New Roman"/>
          <w:b/>
          <w:bCs/>
          <w:color w:val="000000"/>
          <w:sz w:val="24"/>
          <w:szCs w:val="24"/>
          <w:lang w:val="pt-BR"/>
        </w:rPr>
        <w:t xml:space="preserve"> _______/2024</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r>
        <w:rPr>
          <w:rFonts w:ascii="Times New Roman" w:hAnsi="Times New Roman" w:cs="Times New Roman"/>
          <w:b/>
          <w:bCs/>
          <w:sz w:val="24"/>
          <w:szCs w:val="24"/>
          <w:u w:val="single"/>
          <w:lang w:val="pt-BR"/>
        </w:rPr>
        <w:t>JUSTIFICATIVA</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Senhores Vereadores, </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hAnsi="Times New Roman" w:cs="Times New Roman"/>
          <w:sz w:val="24"/>
          <w:szCs w:val="24"/>
          <w:lang w:val="pt-BR"/>
        </w:rPr>
        <w:t>Apresentamos para delibera</w:t>
      </w:r>
      <w:r>
        <w:rPr>
          <w:rFonts w:ascii="Times New Roman" w:eastAsia="Times New Roman" w:hAnsi="Times New Roman" w:cs="Times New Roman"/>
          <w:sz w:val="24"/>
          <w:szCs w:val="24"/>
          <w:lang w:val="pt-BR"/>
        </w:rPr>
        <w:t>ção desta Casa Legislativa o presente projeto de lei que tem por objetivo conceder revisão geral de vencimentos aos servidores desta Câmara Municipal.</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O percentual ora concedido, a título de revisão geral anual, é decorrente da garantia constitucional insculpida no Art. 37, inc. X da Carta Magna. </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Tanto a revisão quanto a alteração (reajuste em sentido stricto sensu) devem observar a iniciativa privativa em cada caso, ou seja, no âmbito municipal, é de competência da Câmara a iniciativa de projeto de lei para a revisão e reajuste dos vencimentos de seus servidores e do Poder Executivo a iniciativa de projeto de lei para os servidores </w:t>
      </w:r>
      <w:proofErr w:type="gramStart"/>
      <w:r>
        <w:rPr>
          <w:rFonts w:ascii="Times New Roman" w:eastAsia="Times New Roman" w:hAnsi="Times New Roman" w:cs="Times New Roman"/>
          <w:sz w:val="24"/>
          <w:szCs w:val="24"/>
          <w:lang w:val="pt-BR"/>
        </w:rPr>
        <w:t>daquele Poder</w:t>
      </w:r>
      <w:proofErr w:type="gramEnd"/>
      <w:r>
        <w:rPr>
          <w:rFonts w:ascii="Times New Roman" w:eastAsia="Times New Roman" w:hAnsi="Times New Roman" w:cs="Times New Roman"/>
          <w:sz w:val="24"/>
          <w:szCs w:val="24"/>
          <w:lang w:val="pt-BR"/>
        </w:rPr>
        <w:t>. Neste sentido, temos os pareceres do TCE-MG, abaixo colacionados:</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E82982">
      <w:pPr>
        <w:tabs>
          <w:tab w:val="left" w:pos="59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595"/>
        <w:jc w:val="both"/>
        <w:rPr>
          <w:rFonts w:ascii="Times New Roman" w:eastAsia="Times New Roman" w:hAnsi="Times New Roman" w:cs="Times New Roman"/>
          <w:lang w:val="pt-BR"/>
        </w:rPr>
      </w:pPr>
      <w:r>
        <w:rPr>
          <w:rFonts w:ascii="Times New Roman" w:hAnsi="Times New Roman" w:cs="Times New Roman"/>
          <w:lang w:val="pt-BR"/>
        </w:rPr>
        <w:t xml:space="preserve">"Trata-se de consulta indagando se o </w:t>
      </w:r>
      <w:r>
        <w:rPr>
          <w:rFonts w:ascii="Times New Roman" w:eastAsia="Times New Roman" w:hAnsi="Times New Roman" w:cs="Times New Roman"/>
          <w:lang w:val="pt-BR"/>
        </w:rPr>
        <w:t xml:space="preserve">índice e a data utilizados para a revisão geral anual dos subsídios dos agentes políticos do Poder Legislativo seriam os mesmos a incidir sobre a revisão geral anual da remuneração dos servidores desse mesmo Poder e, de igual modo, no âmbito do Poder Executivo. Inicialmente, o relator, Cons. Cláudio Couto Terrão, aduziu que o art. 37, X, da CR/88 tem dois comandos: o primeiro impõe a fixação ou alteração da remuneração dos agentes públicos e o segundo assegura a revisão geral anual aos agentes públicos, sempre na mesma data e sem distinção de índices. Explicou que, embora a fixação, a alteração e a revisão devam ser instituídas por lei em sentido material e observada a competência privativa para cada caso, o ato-norma de fixação da remuneração ou do subsídio e o de sua alteração (esta última também chamada de aumento ou reajuste) não se confundem com o ato-norma de revisão, que é mera recomposição do valor da moeda em decorrência de seu desgaste no tempo. Após apresentar distinção entre aumento (ou reajuste) e revisão, concluiu ser possível, no âmbito do Executivo municipal, que se conceda aumento para uma determinada categoria profissional (a dos professores, por exemplo) sem sua concessão para outra (a dos policiais, por exemplo). Frisou, no entanto, não ser possível a realização de revisão para uma categoria sem que se faça para outra, se ambas integrarem a mesma estrutura orgânica (Executivo, Legislativo, Judiciário, Ministério Público e Tribunal de Contas) e entidade política estatal (União, Estados, DF e Municípios). Ressaltou que tanto a revisão quanto a fixação ou a alteração devem observar a iniciativa privativa em cada caso, em homenagem aos </w:t>
      </w:r>
      <w:proofErr w:type="gramStart"/>
      <w:r>
        <w:rPr>
          <w:rFonts w:ascii="Times New Roman" w:eastAsia="Times New Roman" w:hAnsi="Times New Roman" w:cs="Times New Roman"/>
          <w:lang w:val="pt-BR"/>
        </w:rPr>
        <w:t>princípios federativo</w:t>
      </w:r>
      <w:proofErr w:type="gramEnd"/>
      <w:r>
        <w:rPr>
          <w:rFonts w:ascii="Times New Roman" w:eastAsia="Times New Roman" w:hAnsi="Times New Roman" w:cs="Times New Roman"/>
          <w:lang w:val="pt-BR"/>
        </w:rPr>
        <w:t xml:space="preserve"> e da separação de poderes, previstos respectivamente nos </w:t>
      </w:r>
      <w:proofErr w:type="spellStart"/>
      <w:r>
        <w:rPr>
          <w:rFonts w:ascii="Times New Roman" w:eastAsia="Times New Roman" w:hAnsi="Times New Roman" w:cs="Times New Roman"/>
          <w:lang w:val="pt-BR"/>
        </w:rPr>
        <w:t>arts</w:t>
      </w:r>
      <w:proofErr w:type="spellEnd"/>
      <w:r>
        <w:rPr>
          <w:rFonts w:ascii="Times New Roman" w:eastAsia="Times New Roman" w:hAnsi="Times New Roman" w:cs="Times New Roman"/>
          <w:lang w:val="pt-BR"/>
        </w:rPr>
        <w:t xml:space="preserve">. 1º e 2º da CR/88. Registrou que, não obstante deva ser observada a iniciativa privativa mesmo para fins de revisão, as estruturas orgânicas de qualquer entidade política devem estar atentas para </w:t>
      </w:r>
      <w:proofErr w:type="gramStart"/>
      <w:r>
        <w:rPr>
          <w:rFonts w:ascii="Times New Roman" w:eastAsia="Times New Roman" w:hAnsi="Times New Roman" w:cs="Times New Roman"/>
          <w:lang w:val="pt-BR"/>
        </w:rPr>
        <w:t>evitar</w:t>
      </w:r>
      <w:proofErr w:type="gramEnd"/>
      <w:r>
        <w:rPr>
          <w:rFonts w:ascii="Times New Roman" w:eastAsia="Times New Roman" w:hAnsi="Times New Roman" w:cs="Times New Roman"/>
          <w:lang w:val="pt-BR"/>
        </w:rPr>
        <w:t xml:space="preserve">, ao máximo, distinções nos índices adotados, sob pena de ferir o tratamento isonômico que a Constituição quis dar aos servidores </w:t>
      </w:r>
      <w:proofErr w:type="spellStart"/>
      <w:r>
        <w:rPr>
          <w:rFonts w:ascii="Times New Roman" w:eastAsia="Times New Roman" w:hAnsi="Times New Roman" w:cs="Times New Roman"/>
          <w:lang w:val="pt-BR"/>
        </w:rPr>
        <w:t>públicos.Em</w:t>
      </w:r>
      <w:proofErr w:type="spellEnd"/>
      <w:r>
        <w:rPr>
          <w:rFonts w:ascii="Times New Roman" w:eastAsia="Times New Roman" w:hAnsi="Times New Roman" w:cs="Times New Roman"/>
          <w:lang w:val="pt-BR"/>
        </w:rPr>
        <w:t xml:space="preserve"> razão do exposto, concluiu que: a revisão de remuneração ou subsídio não se confunde com sua fixação ou alteração, devendo ser observada em cada entidade política a iniciativa privativa de cada Poder ou Órgão. Desse modo, em âmbito municipal, é da Câmara Municipal a competência para promover a revisão geral anual da remuneração de seus servidores e de seus agentes políticos, assim como é do Executivo a iniciativa de lei para promover a revisão geral anual da </w:t>
      </w:r>
      <w:r>
        <w:rPr>
          <w:rFonts w:ascii="Times New Roman" w:eastAsia="Times New Roman" w:hAnsi="Times New Roman" w:cs="Times New Roman"/>
          <w:lang w:val="pt-BR"/>
        </w:rPr>
        <w:lastRenderedPageBreak/>
        <w:t xml:space="preserve">remuneração de seus servidores e agentes políticos. Além disso, sendo a revisão decorrente de um só fato econômico, que é a corrosão uniforme do poder aquisitivo da moeda, não se </w:t>
      </w:r>
      <w:proofErr w:type="gramStart"/>
      <w:r>
        <w:rPr>
          <w:rFonts w:ascii="Times New Roman" w:eastAsia="Times New Roman" w:hAnsi="Times New Roman" w:cs="Times New Roman"/>
          <w:lang w:val="pt-BR"/>
        </w:rPr>
        <w:t>devem</w:t>
      </w:r>
      <w:proofErr w:type="gramEnd"/>
      <w:r>
        <w:rPr>
          <w:rFonts w:ascii="Times New Roman" w:eastAsia="Times New Roman" w:hAnsi="Times New Roman" w:cs="Times New Roman"/>
          <w:lang w:val="pt-BR"/>
        </w:rPr>
        <w:t xml:space="preserve"> adotar datas e índices distintos entre servidores e agentes políticos da mesma entidade política. Por essa razão, apesar de inexistir regra expressa vinculando a revisão feita por uma unidade orgânica com a realizada por outra, o índice e a data adotados por aquela que a instituiu primeiramente devem ser considerados, por vinculação lógica, pelas demais estruturas orgânicas da mesma entidade política. O parecer foi aprovado por unanimidade. (</w:t>
      </w:r>
      <w:proofErr w:type="gramStart"/>
      <w:r>
        <w:rPr>
          <w:rFonts w:ascii="Times New Roman" w:eastAsia="Times New Roman" w:hAnsi="Times New Roman" w:cs="Times New Roman"/>
          <w:lang w:val="pt-BR"/>
        </w:rPr>
        <w:t>Consulta n. 858.052, Rel. Cons. Cláudio Couto Terrão, 16.11.11)."</w:t>
      </w:r>
      <w:proofErr w:type="gramEnd"/>
    </w:p>
    <w:p w:rsidR="004E52F4" w:rsidRDefault="004E52F4">
      <w:pPr>
        <w:tabs>
          <w:tab w:val="left" w:pos="59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595"/>
        <w:jc w:val="both"/>
        <w:rPr>
          <w:rFonts w:ascii="Times New Roman" w:eastAsia="Times New Roman" w:hAnsi="Times New Roman" w:cs="Times New Roman"/>
          <w:lang w:val="pt-BR"/>
        </w:rPr>
      </w:pPr>
    </w:p>
    <w:p w:rsidR="004E52F4" w:rsidRDefault="00E82982">
      <w:pPr>
        <w:tabs>
          <w:tab w:val="left" w:pos="59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595"/>
        <w:jc w:val="both"/>
        <w:rPr>
          <w:rFonts w:ascii="Times New Roman" w:eastAsia="Times New Roman" w:hAnsi="Times New Roman" w:cs="Times New Roman"/>
          <w:lang w:val="pt-BR"/>
        </w:rPr>
      </w:pPr>
      <w:r>
        <w:rPr>
          <w:rFonts w:ascii="Times New Roman" w:eastAsia="Times New Roman" w:hAnsi="Times New Roman" w:cs="Times New Roman"/>
          <w:lang w:val="pt-BR"/>
        </w:rPr>
        <w:t xml:space="preserve">"(...) Por fim, quanto à quinta indagação, referente à revisão geral anual prevista no art. 37, X, da CR/88, o relator registrou que sua anualidade traduz a possibilidade de recomposição do poder de compra do subsídio dos agentes políticos em razão da inflação apurada no período mínimo de um ano, desde que observado o disposto no art. 29, VI e VII, no art. 29-A, caput e § 1º, ambos da CR/88, no art. 19, III, no art. 20, III e nos </w:t>
      </w:r>
      <w:proofErr w:type="spellStart"/>
      <w:r>
        <w:rPr>
          <w:rFonts w:ascii="Times New Roman" w:eastAsia="Times New Roman" w:hAnsi="Times New Roman" w:cs="Times New Roman"/>
          <w:lang w:val="pt-BR"/>
        </w:rPr>
        <w:t>arts</w:t>
      </w:r>
      <w:proofErr w:type="spellEnd"/>
      <w:r>
        <w:rPr>
          <w:rFonts w:ascii="Times New Roman" w:eastAsia="Times New Roman" w:hAnsi="Times New Roman" w:cs="Times New Roman"/>
          <w:lang w:val="pt-BR"/>
        </w:rPr>
        <w:t xml:space="preserve">. 70 e 71 da LC 101/2000. Acrescentou que, conforme assentado na Consulta n. 858.052, a revisão deve alcançar </w:t>
      </w:r>
      <w:proofErr w:type="gramStart"/>
      <w:r>
        <w:rPr>
          <w:rFonts w:ascii="Times New Roman" w:eastAsia="Times New Roman" w:hAnsi="Times New Roman" w:cs="Times New Roman"/>
          <w:lang w:val="pt-BR"/>
        </w:rPr>
        <w:t>a remuneração de todas as categorias inseridas na mesma estrutura orgânica (Executivo, Legislativo, Judiciário, Ministério Público e Tribunal de Contas) do mesmo ente político (União, Estados, Distrito Federal e Municípios), observada a iniciativa</w:t>
      </w:r>
      <w:proofErr w:type="gramEnd"/>
      <w:r>
        <w:rPr>
          <w:rFonts w:ascii="Times New Roman" w:eastAsia="Times New Roman" w:hAnsi="Times New Roman" w:cs="Times New Roman"/>
          <w:lang w:val="pt-BR"/>
        </w:rPr>
        <w:t xml:space="preserve"> privativa em cada caso, sendo realizada na mesma data e segundo o mesmo índice. O Cons. Cláudio Couto Terrão acrescentou à resposta do quarto questionamento que, além das sanções já mencionadas, há também a obrigação de restituir daquele que deu causa à ilicitude. Foi aprovado o voto do relator, com as observações do Conselheiro Claudio Couto Terrão, vencidos em parte os Conselheiros Eduardo </w:t>
      </w:r>
      <w:proofErr w:type="spellStart"/>
      <w:r>
        <w:rPr>
          <w:rFonts w:ascii="Times New Roman" w:eastAsia="Times New Roman" w:hAnsi="Times New Roman" w:cs="Times New Roman"/>
          <w:lang w:val="pt-BR"/>
        </w:rPr>
        <w:t>Carone</w:t>
      </w:r>
      <w:proofErr w:type="spellEnd"/>
      <w:r>
        <w:rPr>
          <w:rFonts w:ascii="Times New Roman" w:eastAsia="Times New Roman" w:hAnsi="Times New Roman" w:cs="Times New Roman"/>
          <w:lang w:val="pt-BR"/>
        </w:rPr>
        <w:t xml:space="preserve"> Costa e Gilberto Diniz (Consulta n. 772.606, Rel. Conselheiro em exercício Licurgo Mourão, 30.11.11).</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hAnsi="Times New Roman" w:cs="Times New Roman"/>
          <w:sz w:val="24"/>
          <w:szCs w:val="24"/>
          <w:lang w:val="pt-BR"/>
        </w:rPr>
        <w:t>Desta forma, colocamos o presente projeto de lei para delibera</w:t>
      </w:r>
      <w:r>
        <w:rPr>
          <w:rFonts w:ascii="Times New Roman" w:eastAsia="Times New Roman" w:hAnsi="Times New Roman" w:cs="Times New Roman"/>
          <w:sz w:val="24"/>
          <w:szCs w:val="24"/>
          <w:lang w:val="pt-BR"/>
        </w:rPr>
        <w:t>ção desta Casa Legislativa, estando à disposição dos nobres pares para eventuais esclarecimentos adicionais.</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Atenciosamente, </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793F92" w:rsidRDefault="00A56221" w:rsidP="00793F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Sala das Sessões, 11</w:t>
      </w:r>
      <w:r w:rsidR="00793F92">
        <w:rPr>
          <w:rFonts w:ascii="Times New Roman" w:eastAsia="Times New Roman" w:hAnsi="Times New Roman" w:cs="Times New Roman"/>
          <w:sz w:val="24"/>
          <w:szCs w:val="24"/>
          <w:lang w:val="pt-BR"/>
        </w:rPr>
        <w:t xml:space="preserve"> de janeiro de 202</w:t>
      </w:r>
      <w:r w:rsidR="000707F0">
        <w:rPr>
          <w:rFonts w:ascii="Times New Roman" w:eastAsia="Times New Roman" w:hAnsi="Times New Roman" w:cs="Times New Roman"/>
          <w:sz w:val="24"/>
          <w:szCs w:val="24"/>
          <w:lang w:val="pt-BR"/>
        </w:rPr>
        <w:t>4</w:t>
      </w:r>
      <w:r w:rsidR="00793F92">
        <w:rPr>
          <w:rFonts w:ascii="Times New Roman" w:eastAsia="Times New Roman" w:hAnsi="Times New Roman" w:cs="Times New Roman"/>
          <w:sz w:val="24"/>
          <w:szCs w:val="24"/>
          <w:lang w:val="pt-BR"/>
        </w:rPr>
        <w:t>.</w:t>
      </w:r>
    </w:p>
    <w:p w:rsidR="00793F92" w:rsidRDefault="00793F92" w:rsidP="00793F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793F92" w:rsidRDefault="00793F92" w:rsidP="00793F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793F92" w:rsidRDefault="00793F92" w:rsidP="00793F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i/>
          <w:iCs/>
          <w:sz w:val="24"/>
          <w:szCs w:val="24"/>
          <w:lang w:val="pt-BR"/>
        </w:rPr>
      </w:pPr>
      <w:r>
        <w:rPr>
          <w:rFonts w:ascii="Times New Roman" w:hAnsi="Times New Roman" w:cs="Times New Roman"/>
          <w:b/>
          <w:bCs/>
          <w:i/>
          <w:iCs/>
          <w:sz w:val="24"/>
          <w:szCs w:val="24"/>
          <w:lang w:val="pt-BR"/>
        </w:rPr>
        <w:t>HENRIQUE JÚNIOR DA SILVA</w:t>
      </w:r>
    </w:p>
    <w:p w:rsidR="00793F92" w:rsidRPr="00793F92" w:rsidRDefault="00793F92" w:rsidP="00793F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Cs/>
          <w:i/>
          <w:iCs/>
          <w:sz w:val="24"/>
          <w:szCs w:val="24"/>
          <w:lang w:val="pt-BR"/>
        </w:rPr>
      </w:pPr>
      <w:r w:rsidRPr="00793F92">
        <w:rPr>
          <w:rFonts w:ascii="Times New Roman" w:hAnsi="Times New Roman" w:cs="Times New Roman"/>
          <w:bCs/>
          <w:i/>
          <w:iCs/>
          <w:sz w:val="24"/>
          <w:szCs w:val="24"/>
          <w:lang w:val="pt-BR"/>
        </w:rPr>
        <w:t>Presidente da C</w:t>
      </w:r>
      <w:r w:rsidRPr="00793F92">
        <w:rPr>
          <w:rFonts w:ascii="Times New Roman" w:eastAsia="Times New Roman" w:hAnsi="Times New Roman" w:cs="Times New Roman"/>
          <w:bCs/>
          <w:i/>
          <w:iCs/>
          <w:sz w:val="24"/>
          <w:szCs w:val="24"/>
          <w:lang w:val="pt-BR"/>
        </w:rPr>
        <w:t>âmara</w:t>
      </w:r>
    </w:p>
    <w:p w:rsidR="00793F92" w:rsidRDefault="00793F92" w:rsidP="00793F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
          <w:bCs/>
          <w:i/>
          <w:iCs/>
          <w:sz w:val="24"/>
          <w:szCs w:val="24"/>
          <w:lang w:val="pt-BR"/>
        </w:rPr>
      </w:pPr>
    </w:p>
    <w:p w:rsidR="00793F92" w:rsidRDefault="00793F92" w:rsidP="00793F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
          <w:bCs/>
          <w:i/>
          <w:iCs/>
          <w:sz w:val="24"/>
          <w:szCs w:val="24"/>
          <w:lang w:val="pt-BR"/>
        </w:rPr>
      </w:pPr>
      <w:r>
        <w:rPr>
          <w:rFonts w:ascii="Times New Roman" w:eastAsia="Times New Roman" w:hAnsi="Times New Roman" w:cs="Times New Roman"/>
          <w:b/>
          <w:bCs/>
          <w:i/>
          <w:iCs/>
          <w:sz w:val="24"/>
          <w:szCs w:val="24"/>
          <w:lang w:val="pt-BR"/>
        </w:rPr>
        <w:t>TONI TOSHIO YAMASHITA</w:t>
      </w:r>
    </w:p>
    <w:p w:rsidR="00793F92" w:rsidRPr="00793F92" w:rsidRDefault="00793F92" w:rsidP="00793F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Cs/>
          <w:i/>
          <w:iCs/>
          <w:sz w:val="24"/>
          <w:szCs w:val="24"/>
          <w:lang w:val="pt-BR"/>
        </w:rPr>
      </w:pPr>
      <w:r w:rsidRPr="00793F92">
        <w:rPr>
          <w:rFonts w:ascii="Times New Roman" w:eastAsia="Times New Roman" w:hAnsi="Times New Roman" w:cs="Times New Roman"/>
          <w:bCs/>
          <w:i/>
          <w:iCs/>
          <w:sz w:val="24"/>
          <w:szCs w:val="24"/>
          <w:lang w:val="pt-BR"/>
        </w:rPr>
        <w:t>Secretário da Mesa</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E82982" w:rsidRDefault="00E82982">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lang w:val="pt-BR"/>
        </w:rPr>
      </w:pPr>
    </w:p>
    <w:sectPr w:rsidR="00E82982">
      <w:headerReference w:type="default" r:id="rId7"/>
      <w:footerReference w:type="default" r:id="rId8"/>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A67" w:rsidRDefault="00280A67">
      <w:pPr>
        <w:spacing w:after="0" w:line="240" w:lineRule="auto"/>
      </w:pPr>
      <w:r>
        <w:separator/>
      </w:r>
    </w:p>
  </w:endnote>
  <w:endnote w:type="continuationSeparator" w:id="0">
    <w:p w:rsidR="00280A67" w:rsidRDefault="00280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F4" w:rsidRDefault="004E52F4">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lang w:val="pt-BR"/>
      </w:rPr>
    </w:pPr>
  </w:p>
  <w:p w:rsidR="004E52F4" w:rsidRDefault="004E52F4">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A67" w:rsidRDefault="00280A67">
      <w:pPr>
        <w:spacing w:after="0" w:line="240" w:lineRule="auto"/>
      </w:pPr>
      <w:r>
        <w:separator/>
      </w:r>
    </w:p>
  </w:footnote>
  <w:footnote w:type="continuationSeparator" w:id="0">
    <w:p w:rsidR="00280A67" w:rsidRDefault="00280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4E52F4">
      <w:tc>
        <w:tcPr>
          <w:tcW w:w="1700" w:type="dxa"/>
          <w:tcBorders>
            <w:top w:val="nil"/>
            <w:left w:val="nil"/>
            <w:bottom w:val="nil"/>
            <w:right w:val="nil"/>
          </w:tcBorders>
        </w:tcPr>
        <w:p w:rsidR="004E52F4" w:rsidRDefault="00B11916">
          <w:pPr>
            <w:pStyle w:val="Standard"/>
            <w:tabs>
              <w:tab w:val="center" w:pos="4419"/>
              <w:tab w:val="right" w:pos="8838"/>
              <w:tab w:val="left" w:pos="8901"/>
              <w:tab w:val="left" w:pos="14160"/>
              <w:tab w:val="left" w:pos="14868"/>
              <w:tab w:val="left" w:pos="15576"/>
              <w:tab w:val="left" w:pos="16284"/>
              <w:tab w:val="left" w:pos="16992"/>
            </w:tabs>
            <w:ind w:right="170"/>
            <w:rPr>
              <w:sz w:val="32"/>
              <w:szCs w:val="32"/>
              <w:lang w:val="pt-BR"/>
            </w:rPr>
          </w:pPr>
          <w:r>
            <w:rPr>
              <w:noProof/>
              <w:sz w:val="32"/>
              <w:szCs w:val="32"/>
              <w:lang w:val="pt-BR"/>
            </w:rPr>
            <w:drawing>
              <wp:inline distT="0" distB="0" distL="0" distR="0">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4E52F4" w:rsidRDefault="00E82982">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lang w:val="pt-BR"/>
            </w:rPr>
          </w:pPr>
          <w:r>
            <w:rPr>
              <w:sz w:val="32"/>
              <w:szCs w:val="32"/>
              <w:lang w:val="pt-BR"/>
            </w:rPr>
            <w:t>C</w:t>
          </w:r>
          <w:r>
            <w:rPr>
              <w:rFonts w:eastAsia="Times New Roman"/>
              <w:sz w:val="32"/>
              <w:szCs w:val="32"/>
              <w:lang w:val="pt-BR"/>
            </w:rPr>
            <w:t>âmara Municipal de Itapeva</w:t>
          </w:r>
        </w:p>
        <w:p w:rsidR="004E52F4" w:rsidRDefault="00E82982">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lang w:val="pt-BR"/>
            </w:rPr>
          </w:pPr>
          <w:r>
            <w:rPr>
              <w:rFonts w:eastAsia="Times New Roman"/>
              <w:sz w:val="32"/>
              <w:szCs w:val="32"/>
              <w:lang w:val="pt-BR"/>
            </w:rPr>
            <w:t>Estado de Minas Gerais</w:t>
          </w:r>
        </w:p>
        <w:p w:rsidR="004E52F4" w:rsidRDefault="00E82982">
          <w:pPr>
            <w:pStyle w:val="Standard"/>
            <w:tabs>
              <w:tab w:val="center" w:pos="4419"/>
              <w:tab w:val="right" w:pos="8838"/>
              <w:tab w:val="left" w:pos="9071"/>
              <w:tab w:val="left" w:pos="14160"/>
              <w:tab w:val="left" w:pos="14868"/>
              <w:tab w:val="left" w:pos="15576"/>
              <w:tab w:val="left" w:pos="16284"/>
              <w:tab w:val="left" w:pos="16992"/>
            </w:tabs>
            <w:jc w:val="center"/>
            <w:rPr>
              <w:lang w:val="pt-BR"/>
            </w:rPr>
          </w:pPr>
          <w:r>
            <w:rPr>
              <w:lang w:val="pt-BR"/>
            </w:rPr>
            <w:t>Rua Otavio Lemes da Silva, 152 - Centro - 37655-</w:t>
          </w:r>
          <w:proofErr w:type="gramStart"/>
          <w:r>
            <w:rPr>
              <w:lang w:val="pt-BR"/>
            </w:rPr>
            <w:t>000</w:t>
          </w:r>
          <w:proofErr w:type="gramEnd"/>
        </w:p>
        <w:p w:rsidR="004E52F4" w:rsidRDefault="00E82982">
          <w:pPr>
            <w:pStyle w:val="Standard"/>
            <w:tabs>
              <w:tab w:val="center" w:pos="4419"/>
              <w:tab w:val="right" w:pos="8838"/>
              <w:tab w:val="left" w:pos="9071"/>
              <w:tab w:val="left" w:pos="14160"/>
              <w:tab w:val="left" w:pos="14868"/>
              <w:tab w:val="left" w:pos="15576"/>
              <w:tab w:val="left" w:pos="16284"/>
              <w:tab w:val="left" w:pos="16992"/>
            </w:tabs>
            <w:jc w:val="center"/>
            <w:rPr>
              <w:lang w:val="pt-BR"/>
            </w:rPr>
          </w:pPr>
          <w:r>
            <w:rPr>
              <w:lang w:val="pt-BR"/>
            </w:rPr>
            <w:t xml:space="preserve">PABX: (35) 3434.1177 e 3434.1582 </w:t>
          </w:r>
        </w:p>
        <w:p w:rsidR="004E52F4" w:rsidRDefault="00793F92" w:rsidP="00793F92">
          <w:pPr>
            <w:pStyle w:val="Standard"/>
            <w:tabs>
              <w:tab w:val="center" w:pos="4419"/>
              <w:tab w:val="right" w:pos="8838"/>
              <w:tab w:val="left" w:pos="9071"/>
              <w:tab w:val="left" w:pos="14160"/>
              <w:tab w:val="left" w:pos="14868"/>
              <w:tab w:val="left" w:pos="15576"/>
              <w:tab w:val="left" w:pos="16284"/>
              <w:tab w:val="left" w:pos="16992"/>
            </w:tabs>
            <w:jc w:val="center"/>
            <w:rPr>
              <w:sz w:val="32"/>
              <w:szCs w:val="32"/>
              <w:lang w:val="pt-BR"/>
            </w:rPr>
          </w:pPr>
          <w:r>
            <w:rPr>
              <w:lang w:val="pt-BR"/>
            </w:rPr>
            <w:t>Site: www.</w:t>
          </w:r>
          <w:r w:rsidR="00E82982">
            <w:rPr>
              <w:lang w:val="pt-BR"/>
            </w:rPr>
            <w:t>itapeva.mg.</w:t>
          </w:r>
          <w:r>
            <w:rPr>
              <w:lang w:val="pt-BR"/>
            </w:rPr>
            <w:t>leg.br- e-mail: camara@</w:t>
          </w:r>
          <w:r w:rsidR="00E82982">
            <w:rPr>
              <w:lang w:val="pt-BR"/>
            </w:rPr>
            <w:t>itapeva.mg.</w:t>
          </w:r>
          <w:r>
            <w:rPr>
              <w:lang w:val="pt-BR"/>
            </w:rPr>
            <w:t>leg</w:t>
          </w:r>
          <w:r w:rsidR="00E82982">
            <w:rPr>
              <w:lang w:val="pt-BR"/>
            </w:rPr>
            <w:t>.br</w:t>
          </w:r>
        </w:p>
      </w:tc>
    </w:tr>
  </w:tbl>
  <w:p w:rsidR="004E52F4" w:rsidRDefault="004E52F4">
    <w:pPr>
      <w:pStyle w:val="Standard"/>
      <w:tabs>
        <w:tab w:val="center" w:pos="4419"/>
        <w:tab w:val="right" w:pos="8838"/>
        <w:tab w:val="left" w:pos="9071"/>
        <w:tab w:val="left" w:pos="14160"/>
        <w:tab w:val="left" w:pos="14868"/>
        <w:tab w:val="left" w:pos="15576"/>
        <w:tab w:val="left" w:pos="16284"/>
        <w:tab w:val="left" w:pos="16992"/>
      </w:tabs>
      <w:rPr>
        <w:sz w:val="32"/>
        <w:szCs w:val="32"/>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16"/>
    <w:rsid w:val="000707F0"/>
    <w:rsid w:val="0019390A"/>
    <w:rsid w:val="00280A67"/>
    <w:rsid w:val="002F5C44"/>
    <w:rsid w:val="004E52F4"/>
    <w:rsid w:val="00565895"/>
    <w:rsid w:val="00695FA3"/>
    <w:rsid w:val="00793F92"/>
    <w:rsid w:val="007E6793"/>
    <w:rsid w:val="00990EE1"/>
    <w:rsid w:val="009C01FB"/>
    <w:rsid w:val="009D5273"/>
    <w:rsid w:val="00A56221"/>
    <w:rsid w:val="00B11916"/>
    <w:rsid w:val="00BB1861"/>
    <w:rsid w:val="00C14D65"/>
    <w:rsid w:val="00E50536"/>
    <w:rsid w:val="00E82982"/>
    <w:rsid w:val="00F1388D"/>
    <w:rsid w:val="00F875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adjustRightInd w:val="0"/>
    </w:pPr>
    <w:rPr>
      <w:rFonts w:ascii="Calibri" w:hAnsi="Calibri" w:cs="Calibri"/>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cs="Times New Roman"/>
      <w:sz w:val="20"/>
      <w:szCs w:val="20"/>
      <w:lang w:val="x-none"/>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Textodebalo">
    <w:name w:val="Balloon Text"/>
    <w:basedOn w:val="Normal"/>
    <w:link w:val="TextodebaloChar"/>
    <w:uiPriority w:val="99"/>
    <w:semiHidden/>
    <w:unhideWhenUsed/>
    <w:rsid w:val="0099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0EE1"/>
    <w:rPr>
      <w:rFonts w:ascii="Tahoma" w:hAnsi="Tahoma" w:cs="Tahoma"/>
      <w:sz w:val="16"/>
      <w:szCs w:val="16"/>
      <w:lang w:val="x-none"/>
    </w:rPr>
  </w:style>
  <w:style w:type="paragraph" w:styleId="Cabealho">
    <w:name w:val="header"/>
    <w:basedOn w:val="Normal"/>
    <w:link w:val="CabealhoChar"/>
    <w:uiPriority w:val="99"/>
    <w:unhideWhenUsed/>
    <w:rsid w:val="00695F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5FA3"/>
    <w:rPr>
      <w:rFonts w:ascii="Calibri" w:hAnsi="Calibri" w:cs="Calibri"/>
      <w:lang w:val="x-none"/>
    </w:rPr>
  </w:style>
  <w:style w:type="paragraph" w:styleId="Rodap">
    <w:name w:val="footer"/>
    <w:basedOn w:val="Normal"/>
    <w:link w:val="RodapChar"/>
    <w:uiPriority w:val="99"/>
    <w:unhideWhenUsed/>
    <w:rsid w:val="00695FA3"/>
    <w:pPr>
      <w:tabs>
        <w:tab w:val="center" w:pos="4252"/>
        <w:tab w:val="right" w:pos="8504"/>
      </w:tabs>
      <w:spacing w:after="0" w:line="240" w:lineRule="auto"/>
    </w:pPr>
  </w:style>
  <w:style w:type="character" w:customStyle="1" w:styleId="RodapChar">
    <w:name w:val="Rodapé Char"/>
    <w:basedOn w:val="Fontepargpadro"/>
    <w:link w:val="Rodap"/>
    <w:uiPriority w:val="99"/>
    <w:rsid w:val="00695FA3"/>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adjustRightInd w:val="0"/>
    </w:pPr>
    <w:rPr>
      <w:rFonts w:ascii="Calibri" w:hAnsi="Calibri" w:cs="Calibri"/>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cs="Times New Roman"/>
      <w:sz w:val="20"/>
      <w:szCs w:val="20"/>
      <w:lang w:val="x-none"/>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Textodebalo">
    <w:name w:val="Balloon Text"/>
    <w:basedOn w:val="Normal"/>
    <w:link w:val="TextodebaloChar"/>
    <w:uiPriority w:val="99"/>
    <w:semiHidden/>
    <w:unhideWhenUsed/>
    <w:rsid w:val="0099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0EE1"/>
    <w:rPr>
      <w:rFonts w:ascii="Tahoma" w:hAnsi="Tahoma" w:cs="Tahoma"/>
      <w:sz w:val="16"/>
      <w:szCs w:val="16"/>
      <w:lang w:val="x-none"/>
    </w:rPr>
  </w:style>
  <w:style w:type="paragraph" w:styleId="Cabealho">
    <w:name w:val="header"/>
    <w:basedOn w:val="Normal"/>
    <w:link w:val="CabealhoChar"/>
    <w:uiPriority w:val="99"/>
    <w:unhideWhenUsed/>
    <w:rsid w:val="00695F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5FA3"/>
    <w:rPr>
      <w:rFonts w:ascii="Calibri" w:hAnsi="Calibri" w:cs="Calibri"/>
      <w:lang w:val="x-none"/>
    </w:rPr>
  </w:style>
  <w:style w:type="paragraph" w:styleId="Rodap">
    <w:name w:val="footer"/>
    <w:basedOn w:val="Normal"/>
    <w:link w:val="RodapChar"/>
    <w:uiPriority w:val="99"/>
    <w:unhideWhenUsed/>
    <w:rsid w:val="00695FA3"/>
    <w:pPr>
      <w:tabs>
        <w:tab w:val="center" w:pos="4252"/>
        <w:tab w:val="right" w:pos="8504"/>
      </w:tabs>
      <w:spacing w:after="0" w:line="240" w:lineRule="auto"/>
    </w:pPr>
  </w:style>
  <w:style w:type="character" w:customStyle="1" w:styleId="RodapChar">
    <w:name w:val="Rodapé Char"/>
    <w:basedOn w:val="Fontepargpadro"/>
    <w:link w:val="Rodap"/>
    <w:uiPriority w:val="99"/>
    <w:rsid w:val="00695FA3"/>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5984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7077</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3</cp:revision>
  <cp:lastPrinted>2024-01-15T17:39:00Z</cp:lastPrinted>
  <dcterms:created xsi:type="dcterms:W3CDTF">2024-01-15T17:39:00Z</dcterms:created>
  <dcterms:modified xsi:type="dcterms:W3CDTF">2024-01-15T17:40:00Z</dcterms:modified>
</cp:coreProperties>
</file>